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8282B" w14:textId="77777777" w:rsidR="007C0518" w:rsidRPr="00795A2E" w:rsidRDefault="00961352">
      <w:pPr>
        <w:rPr>
          <w:rFonts w:cstheme="minorHAnsi"/>
          <w:sz w:val="22"/>
          <w:szCs w:val="22"/>
          <w:highlight w:val="yellow"/>
        </w:rPr>
      </w:pPr>
      <w:bookmarkStart w:id="0" w:name="_Hlk20429963"/>
      <w:bookmarkEnd w:id="0"/>
      <w:r w:rsidRPr="00795A2E">
        <w:rPr>
          <w:rFonts w:cstheme="minorHAnsi"/>
          <w:noProof/>
          <w:sz w:val="22"/>
          <w:szCs w:val="22"/>
          <w:highlight w:val="yellow"/>
        </w:rPr>
        <w:drawing>
          <wp:inline distT="0" distB="0" distL="0" distR="0" wp14:anchorId="1C8A4918" wp14:editId="0022F10B">
            <wp:extent cx="2590800" cy="502920"/>
            <wp:effectExtent l="0" t="0" r="0" b="0"/>
            <wp:docPr id="1099235183" name="irc_mi" descr="web">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pic:cNvPicPr/>
                  </pic:nvPicPr>
                  <pic:blipFill>
                    <a:blip r:embed="rId8">
                      <a:extLst>
                        <a:ext uri="{28A0092B-C50C-407E-A947-70E740481C1C}">
                          <a14:useLocalDpi xmlns:a14="http://schemas.microsoft.com/office/drawing/2010/main" val="0"/>
                        </a:ext>
                      </a:extLst>
                    </a:blip>
                    <a:stretch>
                      <a:fillRect/>
                    </a:stretch>
                  </pic:blipFill>
                  <pic:spPr>
                    <a:xfrm>
                      <a:off x="0" y="0"/>
                      <a:ext cx="2590800" cy="502920"/>
                    </a:xfrm>
                    <a:prstGeom prst="rect">
                      <a:avLst/>
                    </a:prstGeom>
                  </pic:spPr>
                </pic:pic>
              </a:graphicData>
            </a:graphic>
          </wp:inline>
        </w:drawing>
      </w:r>
    </w:p>
    <w:p w14:paraId="4EDA0031" w14:textId="77777777" w:rsidR="00961352" w:rsidRPr="00795A2E" w:rsidRDefault="00961352">
      <w:pPr>
        <w:rPr>
          <w:rFonts w:cstheme="minorHAnsi"/>
          <w:sz w:val="22"/>
          <w:szCs w:val="22"/>
          <w:highlight w:val="yellow"/>
        </w:rPr>
      </w:pPr>
    </w:p>
    <w:p w14:paraId="1C463A56" w14:textId="77777777" w:rsidR="00961352" w:rsidRPr="00795A2E" w:rsidRDefault="00961352">
      <w:pPr>
        <w:rPr>
          <w:rFonts w:cstheme="minorHAnsi"/>
          <w:sz w:val="22"/>
          <w:szCs w:val="22"/>
          <w:highlight w:val="yellow"/>
        </w:rPr>
      </w:pPr>
    </w:p>
    <w:p w14:paraId="4D38A33F" w14:textId="77777777" w:rsidR="00961352" w:rsidRPr="00795A2E" w:rsidRDefault="00961352">
      <w:pPr>
        <w:rPr>
          <w:rFonts w:cstheme="minorHAnsi"/>
          <w:sz w:val="22"/>
          <w:szCs w:val="22"/>
          <w:highlight w:val="yellow"/>
        </w:rPr>
      </w:pPr>
    </w:p>
    <w:p w14:paraId="10DB95F6" w14:textId="77777777" w:rsidR="00961352" w:rsidRPr="00795A2E" w:rsidRDefault="000F0462" w:rsidP="00961352">
      <w:pPr>
        <w:jc w:val="center"/>
        <w:rPr>
          <w:rFonts w:cstheme="minorHAnsi"/>
          <w:b/>
          <w:bCs/>
          <w:sz w:val="22"/>
          <w:szCs w:val="22"/>
        </w:rPr>
      </w:pPr>
      <w:r w:rsidRPr="00795A2E">
        <w:rPr>
          <w:rFonts w:cstheme="minorHAnsi"/>
          <w:b/>
          <w:bCs/>
          <w:sz w:val="22"/>
          <w:szCs w:val="22"/>
        </w:rPr>
        <w:t>HIGHLIGHTS</w:t>
      </w:r>
    </w:p>
    <w:p w14:paraId="5314AB53" w14:textId="64EE7F03" w:rsidR="00961352" w:rsidRPr="00795A2E" w:rsidRDefault="00545C0A" w:rsidP="00961352">
      <w:pPr>
        <w:jc w:val="center"/>
        <w:rPr>
          <w:rFonts w:cstheme="minorHAnsi"/>
          <w:b/>
          <w:bCs/>
          <w:sz w:val="22"/>
          <w:szCs w:val="22"/>
        </w:rPr>
      </w:pPr>
      <w:r w:rsidRPr="00795A2E">
        <w:rPr>
          <w:rFonts w:cstheme="minorHAnsi"/>
          <w:b/>
          <w:bCs/>
          <w:sz w:val="22"/>
          <w:szCs w:val="22"/>
        </w:rPr>
        <w:t>Amended</w:t>
      </w:r>
      <w:r w:rsidR="00465DF0" w:rsidRPr="00795A2E">
        <w:rPr>
          <w:rFonts w:cstheme="minorHAnsi"/>
          <w:b/>
          <w:bCs/>
          <w:sz w:val="22"/>
          <w:szCs w:val="22"/>
        </w:rPr>
        <w:t xml:space="preserve"> </w:t>
      </w:r>
      <w:r w:rsidR="00175564" w:rsidRPr="00795A2E">
        <w:rPr>
          <w:rFonts w:cstheme="minorHAnsi"/>
          <w:b/>
          <w:bCs/>
          <w:sz w:val="22"/>
          <w:szCs w:val="22"/>
        </w:rPr>
        <w:t>Accreditation</w:t>
      </w:r>
      <w:r w:rsidR="00961352" w:rsidRPr="00795A2E">
        <w:rPr>
          <w:rFonts w:cstheme="minorHAnsi"/>
          <w:b/>
          <w:bCs/>
          <w:sz w:val="22"/>
          <w:szCs w:val="22"/>
        </w:rPr>
        <w:t xml:space="preserve"> Policy </w:t>
      </w:r>
      <w:r w:rsidR="00175564" w:rsidRPr="00795A2E">
        <w:rPr>
          <w:rFonts w:cstheme="minorHAnsi"/>
          <w:b/>
          <w:bCs/>
          <w:sz w:val="22"/>
          <w:szCs w:val="22"/>
        </w:rPr>
        <w:t xml:space="preserve">and Procedures </w:t>
      </w:r>
    </w:p>
    <w:p w14:paraId="31AE07A4" w14:textId="7DFD00E6" w:rsidR="004C068D" w:rsidRPr="00795A2E" w:rsidRDefault="004C068D" w:rsidP="00961352">
      <w:pPr>
        <w:jc w:val="center"/>
        <w:rPr>
          <w:rFonts w:cstheme="minorHAnsi"/>
          <w:b/>
          <w:bCs/>
          <w:sz w:val="22"/>
          <w:szCs w:val="22"/>
        </w:rPr>
      </w:pPr>
      <w:r w:rsidRPr="00795A2E">
        <w:rPr>
          <w:rFonts w:cstheme="minorHAnsi"/>
          <w:b/>
          <w:bCs/>
          <w:sz w:val="22"/>
          <w:szCs w:val="22"/>
        </w:rPr>
        <w:t>Amended Bylaws</w:t>
      </w:r>
    </w:p>
    <w:p w14:paraId="2C8B7CAB" w14:textId="1D251727" w:rsidR="008D11BE" w:rsidRPr="00795A2E" w:rsidRDefault="008D11BE" w:rsidP="00961352">
      <w:pPr>
        <w:jc w:val="center"/>
        <w:rPr>
          <w:rFonts w:cstheme="minorHAnsi"/>
          <w:b/>
          <w:bCs/>
          <w:sz w:val="22"/>
          <w:szCs w:val="22"/>
        </w:rPr>
      </w:pPr>
      <w:r w:rsidRPr="00795A2E">
        <w:rPr>
          <w:rFonts w:cstheme="minorHAnsi"/>
          <w:b/>
          <w:bCs/>
          <w:sz w:val="22"/>
          <w:szCs w:val="22"/>
        </w:rPr>
        <w:t>Amended Governance Policy</w:t>
      </w:r>
    </w:p>
    <w:p w14:paraId="5AFD6864" w14:textId="7F92358F" w:rsidR="00961352" w:rsidRPr="00795A2E" w:rsidRDefault="004C068D" w:rsidP="00961352">
      <w:pPr>
        <w:jc w:val="center"/>
        <w:rPr>
          <w:rFonts w:cstheme="minorHAnsi"/>
          <w:b/>
          <w:bCs/>
          <w:sz w:val="22"/>
          <w:szCs w:val="22"/>
        </w:rPr>
      </w:pPr>
      <w:r w:rsidRPr="00795A2E">
        <w:rPr>
          <w:rFonts w:cstheme="minorHAnsi"/>
          <w:b/>
          <w:bCs/>
          <w:sz w:val="22"/>
          <w:szCs w:val="22"/>
        </w:rPr>
        <w:t>June 2023</w:t>
      </w:r>
    </w:p>
    <w:p w14:paraId="369E332E" w14:textId="77777777" w:rsidR="00961352" w:rsidRPr="00795A2E" w:rsidRDefault="00961352">
      <w:pPr>
        <w:rPr>
          <w:rFonts w:cstheme="minorHAnsi"/>
          <w:b/>
          <w:bCs/>
          <w:sz w:val="22"/>
          <w:szCs w:val="22"/>
          <w:highlight w:val="yellow"/>
        </w:rPr>
      </w:pPr>
    </w:p>
    <w:p w14:paraId="34103ABF" w14:textId="7062B24F" w:rsidR="00545C0A" w:rsidRPr="00795A2E" w:rsidRDefault="00961352" w:rsidP="00545C0A">
      <w:pPr>
        <w:rPr>
          <w:rFonts w:eastAsia="Arial" w:cstheme="minorHAnsi"/>
          <w:color w:val="000000" w:themeColor="text1"/>
          <w:sz w:val="22"/>
          <w:szCs w:val="22"/>
        </w:rPr>
      </w:pPr>
      <w:r w:rsidRPr="00795A2E">
        <w:rPr>
          <w:rFonts w:cstheme="minorHAnsi"/>
          <w:sz w:val="22"/>
          <w:szCs w:val="22"/>
        </w:rPr>
        <w:t>This document highlights</w:t>
      </w:r>
      <w:r w:rsidR="00465DF0" w:rsidRPr="00795A2E">
        <w:rPr>
          <w:rFonts w:cstheme="minorHAnsi"/>
          <w:sz w:val="22"/>
          <w:szCs w:val="22"/>
        </w:rPr>
        <w:t xml:space="preserve"> </w:t>
      </w:r>
      <w:r w:rsidR="00545C0A" w:rsidRPr="00795A2E">
        <w:rPr>
          <w:rFonts w:cstheme="minorHAnsi"/>
          <w:sz w:val="22"/>
          <w:szCs w:val="22"/>
        </w:rPr>
        <w:t>amendment</w:t>
      </w:r>
      <w:r w:rsidR="00974397" w:rsidRPr="00795A2E">
        <w:rPr>
          <w:rFonts w:cstheme="minorHAnsi"/>
          <w:sz w:val="22"/>
          <w:szCs w:val="22"/>
        </w:rPr>
        <w:t>s</w:t>
      </w:r>
      <w:r w:rsidR="00CB76F5" w:rsidRPr="00795A2E">
        <w:rPr>
          <w:rFonts w:cstheme="minorHAnsi"/>
          <w:sz w:val="22"/>
          <w:szCs w:val="22"/>
        </w:rPr>
        <w:t xml:space="preserve"> </w:t>
      </w:r>
      <w:r w:rsidR="00465DF0" w:rsidRPr="00795A2E">
        <w:rPr>
          <w:rFonts w:cstheme="minorHAnsi"/>
          <w:sz w:val="22"/>
          <w:szCs w:val="22"/>
        </w:rPr>
        <w:t>approved</w:t>
      </w:r>
      <w:r w:rsidR="008965B5" w:rsidRPr="00795A2E">
        <w:rPr>
          <w:rFonts w:cstheme="minorHAnsi"/>
          <w:sz w:val="22"/>
          <w:szCs w:val="22"/>
        </w:rPr>
        <w:t xml:space="preserve"> by the Board during the </w:t>
      </w:r>
      <w:r w:rsidR="000C5CB2" w:rsidRPr="00795A2E">
        <w:rPr>
          <w:rFonts w:cstheme="minorHAnsi"/>
          <w:sz w:val="22"/>
          <w:szCs w:val="22"/>
        </w:rPr>
        <w:t>June</w:t>
      </w:r>
      <w:r w:rsidRPr="00795A2E">
        <w:rPr>
          <w:rFonts w:cstheme="minorHAnsi"/>
          <w:sz w:val="22"/>
          <w:szCs w:val="22"/>
        </w:rPr>
        <w:t xml:space="preserve"> </w:t>
      </w:r>
      <w:r w:rsidR="008F3602" w:rsidRPr="00795A2E">
        <w:rPr>
          <w:rFonts w:cstheme="minorHAnsi"/>
          <w:sz w:val="22"/>
          <w:szCs w:val="22"/>
        </w:rPr>
        <w:t>202</w:t>
      </w:r>
      <w:r w:rsidR="000C5CB2" w:rsidRPr="00795A2E">
        <w:rPr>
          <w:rFonts w:cstheme="minorHAnsi"/>
          <w:sz w:val="22"/>
          <w:szCs w:val="22"/>
        </w:rPr>
        <w:t>3</w:t>
      </w:r>
      <w:r w:rsidRPr="00795A2E">
        <w:rPr>
          <w:rFonts w:cstheme="minorHAnsi"/>
          <w:sz w:val="22"/>
          <w:szCs w:val="22"/>
        </w:rPr>
        <w:t xml:space="preserve"> Board of Directors meeting</w:t>
      </w:r>
      <w:r w:rsidR="004E57FD" w:rsidRPr="00795A2E">
        <w:rPr>
          <w:rFonts w:cstheme="minorHAnsi"/>
          <w:sz w:val="22"/>
          <w:szCs w:val="22"/>
        </w:rPr>
        <w:t xml:space="preserve"> to</w:t>
      </w:r>
      <w:r w:rsidR="006660EB" w:rsidRPr="00795A2E">
        <w:rPr>
          <w:rFonts w:cstheme="minorHAnsi"/>
          <w:sz w:val="22"/>
          <w:szCs w:val="22"/>
        </w:rPr>
        <w:t xml:space="preserve"> </w:t>
      </w:r>
      <w:r w:rsidR="009465A2">
        <w:rPr>
          <w:rFonts w:cstheme="minorHAnsi"/>
          <w:sz w:val="22"/>
          <w:szCs w:val="22"/>
        </w:rPr>
        <w:t xml:space="preserve">Bylaws and Governance Policy, as well as </w:t>
      </w:r>
      <w:r w:rsidR="004E57FD" w:rsidRPr="00795A2E">
        <w:rPr>
          <w:rFonts w:cstheme="minorHAnsi"/>
          <w:sz w:val="22"/>
          <w:szCs w:val="22"/>
        </w:rPr>
        <w:t>Accreditation Policy and Procedures</w:t>
      </w:r>
      <w:r w:rsidR="009465A2">
        <w:rPr>
          <w:rFonts w:cstheme="minorHAnsi"/>
          <w:sz w:val="22"/>
          <w:szCs w:val="22"/>
        </w:rPr>
        <w:t xml:space="preserve">, which followed Accreditation Council adoption in April. </w:t>
      </w:r>
      <w:r w:rsidR="000C5CB2" w:rsidRPr="00795A2E">
        <w:rPr>
          <w:rFonts w:cstheme="minorHAnsi"/>
          <w:sz w:val="22"/>
          <w:szCs w:val="22"/>
        </w:rPr>
        <w:t xml:space="preserve">The amended documents </w:t>
      </w:r>
      <w:r w:rsidRPr="00795A2E">
        <w:rPr>
          <w:rFonts w:eastAsia="Arial" w:cstheme="minorHAnsi"/>
          <w:color w:val="000000" w:themeColor="text1"/>
          <w:sz w:val="22"/>
          <w:szCs w:val="22"/>
        </w:rPr>
        <w:t xml:space="preserve">will take effect </w:t>
      </w:r>
      <w:r w:rsidR="000C5CB2" w:rsidRPr="00795A2E">
        <w:rPr>
          <w:rFonts w:eastAsia="Arial" w:cstheme="minorHAnsi"/>
          <w:color w:val="000000" w:themeColor="text1"/>
          <w:sz w:val="22"/>
          <w:szCs w:val="22"/>
        </w:rPr>
        <w:t>July</w:t>
      </w:r>
      <w:r w:rsidRPr="00795A2E">
        <w:rPr>
          <w:rFonts w:eastAsia="Arial" w:cstheme="minorHAnsi"/>
          <w:color w:val="000000" w:themeColor="text1"/>
          <w:sz w:val="22"/>
          <w:szCs w:val="22"/>
        </w:rPr>
        <w:t xml:space="preserve"> 1, 20</w:t>
      </w:r>
      <w:r w:rsidR="008F3602" w:rsidRPr="00795A2E">
        <w:rPr>
          <w:rFonts w:eastAsia="Arial" w:cstheme="minorHAnsi"/>
          <w:color w:val="000000" w:themeColor="text1"/>
          <w:sz w:val="22"/>
          <w:szCs w:val="22"/>
        </w:rPr>
        <w:t>2</w:t>
      </w:r>
      <w:r w:rsidR="008D11BE" w:rsidRPr="00795A2E">
        <w:rPr>
          <w:rFonts w:eastAsia="Arial" w:cstheme="minorHAnsi"/>
          <w:color w:val="000000" w:themeColor="text1"/>
          <w:sz w:val="22"/>
          <w:szCs w:val="22"/>
        </w:rPr>
        <w:t>3</w:t>
      </w:r>
      <w:r w:rsidR="00545C0A" w:rsidRPr="00795A2E">
        <w:rPr>
          <w:rFonts w:eastAsia="Arial" w:cstheme="minorHAnsi"/>
          <w:color w:val="000000" w:themeColor="text1"/>
          <w:sz w:val="22"/>
          <w:szCs w:val="22"/>
        </w:rPr>
        <w:t xml:space="preserve">. </w:t>
      </w:r>
    </w:p>
    <w:p w14:paraId="43331BAA" w14:textId="77777777" w:rsidR="00545C0A" w:rsidRPr="00795A2E" w:rsidRDefault="00545C0A" w:rsidP="00545C0A">
      <w:pPr>
        <w:rPr>
          <w:rFonts w:eastAsia="Arial" w:cstheme="minorHAnsi"/>
          <w:color w:val="000000" w:themeColor="text1"/>
          <w:sz w:val="22"/>
          <w:szCs w:val="22"/>
          <w:highlight w:val="yellow"/>
        </w:rPr>
      </w:pPr>
    </w:p>
    <w:p w14:paraId="4310D50F" w14:textId="4C9B9E5D" w:rsidR="000B781B" w:rsidRPr="00456994" w:rsidRDefault="008D11BE" w:rsidP="00456994">
      <w:pPr>
        <w:rPr>
          <w:rFonts w:eastAsia="Arial" w:cstheme="minorHAnsi"/>
          <w:color w:val="000000" w:themeColor="text1"/>
          <w:sz w:val="22"/>
          <w:szCs w:val="22"/>
        </w:rPr>
      </w:pPr>
      <w:r w:rsidRPr="00795A2E">
        <w:rPr>
          <w:rFonts w:eastAsia="Arial" w:cstheme="minorHAnsi"/>
          <w:color w:val="000000" w:themeColor="text1"/>
          <w:sz w:val="22"/>
          <w:szCs w:val="22"/>
        </w:rPr>
        <w:t>The</w:t>
      </w:r>
      <w:r w:rsidR="00545C0A" w:rsidRPr="00795A2E">
        <w:rPr>
          <w:rFonts w:eastAsia="Arial" w:cstheme="minorHAnsi"/>
          <w:color w:val="000000" w:themeColor="text1"/>
          <w:sz w:val="22"/>
          <w:szCs w:val="22"/>
        </w:rPr>
        <w:t xml:space="preserve"> amendments </w:t>
      </w:r>
      <w:r w:rsidRPr="00795A2E">
        <w:rPr>
          <w:rFonts w:eastAsia="Arial" w:cstheme="minorHAnsi"/>
          <w:color w:val="000000" w:themeColor="text1"/>
          <w:sz w:val="22"/>
          <w:szCs w:val="22"/>
        </w:rPr>
        <w:t xml:space="preserve">to </w:t>
      </w:r>
      <w:r w:rsidRPr="00456994">
        <w:rPr>
          <w:rFonts w:eastAsia="Arial" w:cstheme="minorHAnsi"/>
          <w:color w:val="000000" w:themeColor="text1"/>
          <w:sz w:val="22"/>
          <w:szCs w:val="22"/>
          <w:u w:val="single"/>
        </w:rPr>
        <w:t>Accreditation Policy and Procedures</w:t>
      </w:r>
      <w:r w:rsidRPr="00795A2E">
        <w:rPr>
          <w:rFonts w:eastAsia="Arial" w:cstheme="minorHAnsi"/>
          <w:color w:val="000000" w:themeColor="text1"/>
          <w:sz w:val="22"/>
          <w:szCs w:val="22"/>
        </w:rPr>
        <w:t xml:space="preserve"> </w:t>
      </w:r>
      <w:r w:rsidR="00FB6694" w:rsidRPr="00795A2E">
        <w:rPr>
          <w:rFonts w:eastAsia="Arial" w:cstheme="minorHAnsi"/>
          <w:color w:val="000000" w:themeColor="text1"/>
          <w:sz w:val="22"/>
          <w:szCs w:val="22"/>
        </w:rPr>
        <w:t xml:space="preserve">address </w:t>
      </w:r>
      <w:r w:rsidR="00545C0A" w:rsidRPr="00795A2E">
        <w:rPr>
          <w:rFonts w:eastAsia="Arial" w:cstheme="minorHAnsi"/>
          <w:color w:val="000000" w:themeColor="text1"/>
          <w:sz w:val="22"/>
          <w:szCs w:val="22"/>
        </w:rPr>
        <w:t>the following:</w:t>
      </w:r>
      <w:bookmarkStart w:id="1" w:name="_Hlk23337193"/>
    </w:p>
    <w:p w14:paraId="6D3FE48A" w14:textId="0C211E09" w:rsidR="002C3950" w:rsidRPr="00A16084" w:rsidRDefault="002C3950" w:rsidP="002C3950">
      <w:pPr>
        <w:pStyle w:val="ListParagraph"/>
        <w:numPr>
          <w:ilvl w:val="0"/>
          <w:numId w:val="14"/>
        </w:numPr>
        <w:rPr>
          <w:rFonts w:eastAsia="Arial" w:cs="Calibri"/>
          <w:color w:val="000000" w:themeColor="text1"/>
          <w:sz w:val="22"/>
          <w:szCs w:val="22"/>
        </w:rPr>
      </w:pPr>
      <w:r w:rsidRPr="00A16084">
        <w:rPr>
          <w:rFonts w:eastAsia="Arial" w:cs="Calibri"/>
          <w:color w:val="000000" w:themeColor="text1"/>
          <w:sz w:val="22"/>
          <w:szCs w:val="22"/>
        </w:rPr>
        <w:t xml:space="preserve">Changes to </w:t>
      </w:r>
      <w:r w:rsidR="000A257A">
        <w:rPr>
          <w:rFonts w:eastAsia="Arial" w:cs="Calibri"/>
          <w:color w:val="000000" w:themeColor="text1"/>
          <w:sz w:val="22"/>
          <w:szCs w:val="22"/>
        </w:rPr>
        <w:t xml:space="preserve">Part I, Section 2 </w:t>
      </w:r>
      <w:r w:rsidRPr="00A16084">
        <w:rPr>
          <w:rFonts w:eastAsia="Arial" w:cs="Calibri"/>
          <w:color w:val="000000" w:themeColor="text1"/>
          <w:sz w:val="22"/>
          <w:szCs w:val="22"/>
        </w:rPr>
        <w:t xml:space="preserve">regarding the review and revision of CAEP Standards </w:t>
      </w:r>
      <w:r w:rsidR="000A257A">
        <w:rPr>
          <w:rFonts w:eastAsia="Arial" w:cs="Calibri"/>
          <w:color w:val="000000" w:themeColor="text1"/>
          <w:sz w:val="22"/>
          <w:szCs w:val="22"/>
        </w:rPr>
        <w:t xml:space="preserve">to </w:t>
      </w:r>
      <w:r w:rsidRPr="00A16084">
        <w:rPr>
          <w:rFonts w:eastAsia="Arial" w:cs="Calibri"/>
          <w:color w:val="000000" w:themeColor="text1"/>
          <w:sz w:val="22"/>
          <w:szCs w:val="22"/>
        </w:rPr>
        <w:t>add language and require a call for public comments</w:t>
      </w:r>
      <w:r w:rsidR="00D075F2">
        <w:rPr>
          <w:rFonts w:eastAsia="Arial" w:cs="Calibri"/>
          <w:color w:val="000000" w:themeColor="text1"/>
          <w:sz w:val="22"/>
          <w:szCs w:val="22"/>
        </w:rPr>
        <w:t xml:space="preserve"> to include a specific request for</w:t>
      </w:r>
      <w:r w:rsidRPr="00A16084">
        <w:rPr>
          <w:rFonts w:eastAsia="Arial" w:cs="Calibri"/>
          <w:color w:val="000000" w:themeColor="text1"/>
          <w:sz w:val="22"/>
          <w:szCs w:val="22"/>
        </w:rPr>
        <w:t xml:space="preserve"> input or concerns on the extent to which current or proposed standards support the autonomy of an EPP in determining academic quality as it relates to the mission of the EPP and support an EPP’s implementation of innovative practices. </w:t>
      </w:r>
    </w:p>
    <w:p w14:paraId="472F8256" w14:textId="77777777" w:rsidR="002C3950" w:rsidRPr="00A16084" w:rsidRDefault="002C3950" w:rsidP="002C3950">
      <w:pPr>
        <w:pStyle w:val="ListParagraph"/>
        <w:rPr>
          <w:rFonts w:eastAsia="Arial" w:cs="Calibri"/>
          <w:color w:val="000000" w:themeColor="text1"/>
          <w:sz w:val="22"/>
          <w:szCs w:val="22"/>
        </w:rPr>
      </w:pPr>
    </w:p>
    <w:p w14:paraId="04A7EEFE" w14:textId="2F41D0AC" w:rsidR="002C3950" w:rsidRPr="00A16084" w:rsidRDefault="000A257A" w:rsidP="002C3950">
      <w:pPr>
        <w:pStyle w:val="ListParagraph"/>
        <w:numPr>
          <w:ilvl w:val="0"/>
          <w:numId w:val="14"/>
        </w:numPr>
        <w:rPr>
          <w:rFonts w:eastAsia="Arial" w:cs="Calibri"/>
          <w:color w:val="000000" w:themeColor="text1"/>
          <w:sz w:val="22"/>
          <w:szCs w:val="22"/>
        </w:rPr>
      </w:pPr>
      <w:r>
        <w:rPr>
          <w:rFonts w:eastAsia="Arial" w:cs="Calibri"/>
          <w:color w:val="000000" w:themeColor="text1"/>
          <w:sz w:val="22"/>
          <w:szCs w:val="22"/>
        </w:rPr>
        <w:t>Changes to Part II, Section 3</w:t>
      </w:r>
      <w:r w:rsidR="002C3950" w:rsidRPr="00A16084">
        <w:rPr>
          <w:rFonts w:eastAsia="Arial" w:cs="Calibri"/>
          <w:color w:val="000000" w:themeColor="text1"/>
          <w:sz w:val="22"/>
          <w:szCs w:val="22"/>
        </w:rPr>
        <w:t xml:space="preserve"> </w:t>
      </w:r>
      <w:r>
        <w:rPr>
          <w:rFonts w:eastAsia="Arial" w:cs="Calibri"/>
          <w:color w:val="000000" w:themeColor="text1"/>
          <w:sz w:val="22"/>
          <w:szCs w:val="22"/>
        </w:rPr>
        <w:t xml:space="preserve">to </w:t>
      </w:r>
      <w:r w:rsidR="002C3950" w:rsidRPr="00A16084">
        <w:rPr>
          <w:rFonts w:eastAsia="Arial" w:cs="Calibri"/>
          <w:color w:val="000000" w:themeColor="text1"/>
          <w:sz w:val="22"/>
          <w:szCs w:val="22"/>
        </w:rPr>
        <w:t>encourage an EPP to share (through the review process or otherwise) concerns or questions that may arise relating to CAEP standards, policies, and procedures that support the autonomy of an EPP in determining academic quality as it relates to the mission of the EPP and supports an EPP’s implementation of innovative practices</w:t>
      </w:r>
      <w:r>
        <w:rPr>
          <w:rFonts w:eastAsia="Arial" w:cs="Calibri"/>
          <w:color w:val="000000" w:themeColor="text1"/>
          <w:sz w:val="22"/>
          <w:szCs w:val="22"/>
        </w:rPr>
        <w:t>.</w:t>
      </w:r>
      <w:r w:rsidR="002C3950" w:rsidRPr="00A16084">
        <w:rPr>
          <w:rFonts w:eastAsia="Arial" w:cs="Calibri"/>
          <w:color w:val="000000" w:themeColor="text1"/>
          <w:sz w:val="22"/>
          <w:szCs w:val="22"/>
        </w:rPr>
        <w:t xml:space="preserve"> </w:t>
      </w:r>
    </w:p>
    <w:p w14:paraId="39884045" w14:textId="77777777" w:rsidR="002C3950" w:rsidRPr="00A16084" w:rsidRDefault="002C3950" w:rsidP="002C3950">
      <w:pPr>
        <w:pStyle w:val="ListParagraph"/>
        <w:rPr>
          <w:rFonts w:eastAsia="Arial" w:cs="Calibri"/>
          <w:color w:val="000000" w:themeColor="text1"/>
          <w:sz w:val="22"/>
          <w:szCs w:val="22"/>
        </w:rPr>
      </w:pPr>
    </w:p>
    <w:p w14:paraId="3B16612C" w14:textId="79122166" w:rsidR="002C3950" w:rsidRPr="00A16084" w:rsidRDefault="000A257A" w:rsidP="002C3950">
      <w:pPr>
        <w:pStyle w:val="ListParagraph"/>
        <w:numPr>
          <w:ilvl w:val="0"/>
          <w:numId w:val="14"/>
        </w:numPr>
        <w:rPr>
          <w:rFonts w:eastAsia="Arial" w:cs="Calibri"/>
          <w:color w:val="000000" w:themeColor="text1"/>
          <w:sz w:val="22"/>
          <w:szCs w:val="22"/>
        </w:rPr>
      </w:pPr>
      <w:r>
        <w:rPr>
          <w:rFonts w:eastAsia="Arial" w:cs="Calibri"/>
          <w:color w:val="000000" w:themeColor="text1"/>
          <w:sz w:val="22"/>
          <w:szCs w:val="22"/>
        </w:rPr>
        <w:t>Changes to Part II, Policy 5.01 to make</w:t>
      </w:r>
      <w:r w:rsidR="002C3950" w:rsidRPr="00A16084">
        <w:rPr>
          <w:rFonts w:eastAsia="Arial" w:cs="Calibri"/>
          <w:color w:val="000000" w:themeColor="text1"/>
          <w:sz w:val="22"/>
          <w:szCs w:val="22"/>
        </w:rPr>
        <w:t xml:space="preserve"> clear that any recommendation made in a CAEP review process that suggests changes or improvements </w:t>
      </w:r>
      <w:r w:rsidR="002C3950" w:rsidRPr="00D075F2">
        <w:rPr>
          <w:rFonts w:eastAsia="Arial" w:cs="Calibri"/>
          <w:i/>
          <w:iCs/>
          <w:color w:val="000000" w:themeColor="text1"/>
          <w:sz w:val="22"/>
          <w:szCs w:val="22"/>
          <w:u w:val="single"/>
        </w:rPr>
        <w:t>not</w:t>
      </w:r>
      <w:r w:rsidR="002C3950" w:rsidRPr="00A16084">
        <w:rPr>
          <w:rFonts w:eastAsia="Arial" w:cs="Calibri"/>
          <w:color w:val="000000" w:themeColor="text1"/>
          <w:sz w:val="22"/>
          <w:szCs w:val="22"/>
        </w:rPr>
        <w:t xml:space="preserve"> specified as an AFI or stipulation is not required to be addressed by the EPP. </w:t>
      </w:r>
    </w:p>
    <w:p w14:paraId="649AA11C" w14:textId="77777777" w:rsidR="002C3950" w:rsidRPr="00A16084" w:rsidRDefault="002C3950" w:rsidP="002C3950">
      <w:pPr>
        <w:pStyle w:val="ListParagraph"/>
        <w:rPr>
          <w:rFonts w:eastAsia="Arial" w:cs="Calibri"/>
          <w:color w:val="000000" w:themeColor="text1"/>
          <w:sz w:val="22"/>
          <w:szCs w:val="22"/>
        </w:rPr>
      </w:pPr>
    </w:p>
    <w:p w14:paraId="4623289D" w14:textId="1C841AF6" w:rsidR="002C3950" w:rsidRPr="000A257A" w:rsidRDefault="000A257A" w:rsidP="000A257A">
      <w:pPr>
        <w:pStyle w:val="ListParagraph"/>
        <w:numPr>
          <w:ilvl w:val="0"/>
          <w:numId w:val="14"/>
        </w:numPr>
        <w:rPr>
          <w:rFonts w:eastAsia="Arial" w:cs="Calibri"/>
          <w:color w:val="000000" w:themeColor="text1"/>
          <w:sz w:val="22"/>
          <w:szCs w:val="22"/>
        </w:rPr>
      </w:pPr>
      <w:r>
        <w:rPr>
          <w:rFonts w:eastAsia="Arial" w:cs="Calibri"/>
          <w:color w:val="000000" w:themeColor="text1"/>
          <w:sz w:val="22"/>
          <w:szCs w:val="22"/>
        </w:rPr>
        <w:t>Changes to Part II, Section 7 to</w:t>
      </w:r>
      <w:r w:rsidR="002C3950" w:rsidRPr="00A16084">
        <w:rPr>
          <w:rFonts w:eastAsia="Arial" w:cs="Calibri"/>
          <w:color w:val="000000" w:themeColor="text1"/>
          <w:sz w:val="22"/>
          <w:szCs w:val="22"/>
        </w:rPr>
        <w:t xml:space="preserve"> require CAEP to notify the appropriate international authorities of its intent to commence accreditation activities in another country, prior to beginning any such activities, and to seek guidance regarding current and proposed activities. </w:t>
      </w:r>
      <w:r>
        <w:rPr>
          <w:rFonts w:eastAsia="Arial" w:cs="Calibri"/>
          <w:color w:val="000000" w:themeColor="text1"/>
          <w:sz w:val="22"/>
          <w:szCs w:val="22"/>
        </w:rPr>
        <w:t>Further, a</w:t>
      </w:r>
      <w:r w:rsidR="00A16084" w:rsidRPr="000A257A">
        <w:rPr>
          <w:rFonts w:eastAsia="Arial" w:cs="Calibri"/>
          <w:color w:val="000000" w:themeColor="text1"/>
          <w:sz w:val="22"/>
          <w:szCs w:val="22"/>
        </w:rPr>
        <w:t>mendments</w:t>
      </w:r>
      <w:r w:rsidR="002C3950" w:rsidRPr="000A257A">
        <w:rPr>
          <w:rFonts w:eastAsia="Arial" w:cs="Calibri"/>
          <w:color w:val="000000" w:themeColor="text1"/>
          <w:sz w:val="22"/>
          <w:szCs w:val="22"/>
        </w:rPr>
        <w:t xml:space="preserve"> require CAEP to engage in outreach to both the international EPP and the EPP’s in-country governing authority following receipt by CAEP of the Request for Evaluation or Accreditation Review Request from the international EPP. </w:t>
      </w:r>
    </w:p>
    <w:p w14:paraId="28C32E96" w14:textId="77777777" w:rsidR="002C3950" w:rsidRPr="000A257A" w:rsidRDefault="002C3950" w:rsidP="000A257A">
      <w:pPr>
        <w:rPr>
          <w:rFonts w:eastAsia="Arial" w:cs="Calibri"/>
          <w:color w:val="000000" w:themeColor="text1"/>
          <w:sz w:val="22"/>
          <w:szCs w:val="22"/>
        </w:rPr>
      </w:pPr>
    </w:p>
    <w:p w14:paraId="62DF04C9" w14:textId="798F9D4A" w:rsidR="002C3950" w:rsidRPr="00A16084" w:rsidRDefault="000A257A" w:rsidP="002C3950">
      <w:pPr>
        <w:pStyle w:val="ListParagraph"/>
        <w:numPr>
          <w:ilvl w:val="0"/>
          <w:numId w:val="14"/>
        </w:numPr>
        <w:rPr>
          <w:rFonts w:eastAsia="Arial" w:cs="Calibri"/>
          <w:color w:val="000000" w:themeColor="text1"/>
          <w:sz w:val="22"/>
          <w:szCs w:val="22"/>
        </w:rPr>
      </w:pPr>
      <w:r>
        <w:rPr>
          <w:rFonts w:eastAsia="Arial" w:cs="Calibri"/>
          <w:color w:val="000000" w:themeColor="text1"/>
          <w:sz w:val="22"/>
          <w:szCs w:val="22"/>
        </w:rPr>
        <w:t>Changes to Part II, Policy 11.10</w:t>
      </w:r>
      <w:r w:rsidR="002C3950" w:rsidRPr="00A16084">
        <w:rPr>
          <w:rFonts w:eastAsia="Arial" w:cs="Calibri"/>
          <w:color w:val="000000" w:themeColor="text1"/>
          <w:sz w:val="22"/>
          <w:szCs w:val="22"/>
        </w:rPr>
        <w:t xml:space="preserve"> </w:t>
      </w:r>
      <w:r>
        <w:rPr>
          <w:rFonts w:eastAsia="Arial" w:cs="Calibri"/>
          <w:color w:val="000000" w:themeColor="text1"/>
          <w:sz w:val="22"/>
          <w:szCs w:val="22"/>
        </w:rPr>
        <w:t>to make</w:t>
      </w:r>
      <w:r w:rsidR="002C3950" w:rsidRPr="00A16084">
        <w:rPr>
          <w:rFonts w:eastAsia="Arial" w:cs="Calibri"/>
          <w:color w:val="000000" w:themeColor="text1"/>
          <w:sz w:val="22"/>
          <w:szCs w:val="22"/>
        </w:rPr>
        <w:t xml:space="preserve"> clear that Ad Hoc Appeal Panel members have full access to AIMS, like other volunteers. </w:t>
      </w:r>
    </w:p>
    <w:p w14:paraId="20C77A20" w14:textId="77777777" w:rsidR="002C3950" w:rsidRPr="00A16084" w:rsidRDefault="002C3950" w:rsidP="002C3950">
      <w:pPr>
        <w:pStyle w:val="ListParagraph"/>
        <w:rPr>
          <w:rFonts w:eastAsia="Arial" w:cs="Calibri"/>
          <w:color w:val="000000" w:themeColor="text1"/>
          <w:sz w:val="22"/>
          <w:szCs w:val="22"/>
        </w:rPr>
      </w:pPr>
    </w:p>
    <w:p w14:paraId="1FA4CEB5" w14:textId="2226FFB4" w:rsidR="002C3950" w:rsidRPr="00A16084" w:rsidRDefault="000A257A" w:rsidP="002C3950">
      <w:pPr>
        <w:pStyle w:val="ListParagraph"/>
        <w:numPr>
          <w:ilvl w:val="0"/>
          <w:numId w:val="14"/>
        </w:numPr>
        <w:rPr>
          <w:rFonts w:eastAsia="Arial" w:cs="Calibri"/>
          <w:color w:val="000000" w:themeColor="text1"/>
          <w:sz w:val="22"/>
          <w:szCs w:val="22"/>
        </w:rPr>
      </w:pPr>
      <w:r>
        <w:rPr>
          <w:rFonts w:eastAsia="Arial" w:cs="Calibri"/>
          <w:color w:val="000000" w:themeColor="text1"/>
          <w:sz w:val="22"/>
          <w:szCs w:val="22"/>
        </w:rPr>
        <w:t xml:space="preserve">Changes to Part II, Section 11 to </w:t>
      </w:r>
      <w:r w:rsidR="002C3950" w:rsidRPr="00A16084">
        <w:rPr>
          <w:rFonts w:eastAsia="Arial" w:cs="Calibri"/>
          <w:color w:val="000000" w:themeColor="text1"/>
          <w:sz w:val="22"/>
          <w:szCs w:val="22"/>
        </w:rPr>
        <w:t>make clear that no information or records that are accessed through AIMS may be used for any purpose other than the conduct of a CAEP accreditation review, decision-making process, compliance monitoring, or by CAEP in carrying out administration of any CAEP activity. Any exceptions to this general rule</w:t>
      </w:r>
      <w:r w:rsidR="00D075F2">
        <w:rPr>
          <w:rFonts w:eastAsia="Arial" w:cs="Calibri"/>
          <w:color w:val="000000" w:themeColor="text1"/>
          <w:sz w:val="22"/>
          <w:szCs w:val="22"/>
        </w:rPr>
        <w:t xml:space="preserve"> are limited to and specified in</w:t>
      </w:r>
      <w:r w:rsidR="002C3950" w:rsidRPr="00A16084">
        <w:rPr>
          <w:rFonts w:eastAsia="Arial" w:cs="Calibri"/>
          <w:color w:val="000000" w:themeColor="text1"/>
          <w:sz w:val="22"/>
          <w:szCs w:val="22"/>
        </w:rPr>
        <w:t xml:space="preserve"> CAEP’s State</w:t>
      </w:r>
      <w:r w:rsidR="00D075F2">
        <w:rPr>
          <w:rFonts w:eastAsia="Arial" w:cs="Calibri"/>
          <w:color w:val="000000" w:themeColor="text1"/>
          <w:sz w:val="22"/>
          <w:szCs w:val="22"/>
        </w:rPr>
        <w:t xml:space="preserve"> Partnership</w:t>
      </w:r>
      <w:r w:rsidR="002C3950" w:rsidRPr="00A16084">
        <w:rPr>
          <w:rFonts w:eastAsia="Arial" w:cs="Calibri"/>
          <w:color w:val="000000" w:themeColor="text1"/>
          <w:sz w:val="22"/>
          <w:szCs w:val="22"/>
        </w:rPr>
        <w:t xml:space="preserve"> Agreement</w:t>
      </w:r>
      <w:r w:rsidR="00D075F2">
        <w:rPr>
          <w:rFonts w:eastAsia="Arial" w:cs="Calibri"/>
          <w:color w:val="000000" w:themeColor="text1"/>
          <w:sz w:val="22"/>
          <w:szCs w:val="22"/>
        </w:rPr>
        <w:t>s</w:t>
      </w:r>
      <w:r w:rsidR="002C3950" w:rsidRPr="00A16084">
        <w:rPr>
          <w:rFonts w:eastAsia="Arial" w:cs="Calibri"/>
          <w:color w:val="000000" w:themeColor="text1"/>
          <w:sz w:val="22"/>
          <w:szCs w:val="22"/>
        </w:rPr>
        <w:t xml:space="preserve"> </w:t>
      </w:r>
      <w:r w:rsidR="00D075F2">
        <w:rPr>
          <w:rFonts w:eastAsia="Arial" w:cs="Calibri"/>
          <w:color w:val="000000" w:themeColor="text1"/>
          <w:sz w:val="22"/>
          <w:szCs w:val="22"/>
        </w:rPr>
        <w:t>and</w:t>
      </w:r>
      <w:r w:rsidR="002C3950" w:rsidRPr="00A16084">
        <w:rPr>
          <w:rFonts w:eastAsia="Arial" w:cs="Calibri"/>
          <w:color w:val="000000" w:themeColor="text1"/>
          <w:sz w:val="22"/>
          <w:szCs w:val="22"/>
        </w:rPr>
        <w:t xml:space="preserve"> SPA Agreement</w:t>
      </w:r>
      <w:r w:rsidR="00D075F2">
        <w:rPr>
          <w:rFonts w:eastAsia="Arial" w:cs="Calibri"/>
          <w:color w:val="000000" w:themeColor="text1"/>
          <w:sz w:val="22"/>
          <w:szCs w:val="22"/>
        </w:rPr>
        <w:t>s</w:t>
      </w:r>
      <w:r w:rsidR="00456994">
        <w:rPr>
          <w:rFonts w:eastAsia="Arial" w:cs="Calibri"/>
          <w:color w:val="000000" w:themeColor="text1"/>
          <w:sz w:val="22"/>
          <w:szCs w:val="22"/>
        </w:rPr>
        <w:t>.</w:t>
      </w:r>
    </w:p>
    <w:p w14:paraId="109AA842" w14:textId="77777777" w:rsidR="002C3950" w:rsidRPr="00A16084" w:rsidRDefault="002C3950" w:rsidP="002C3950">
      <w:pPr>
        <w:pStyle w:val="ListParagraph"/>
        <w:rPr>
          <w:rFonts w:eastAsia="Arial" w:cs="Calibri"/>
          <w:color w:val="000000" w:themeColor="text1"/>
          <w:sz w:val="22"/>
          <w:szCs w:val="22"/>
        </w:rPr>
      </w:pPr>
    </w:p>
    <w:p w14:paraId="5C0FB8B2" w14:textId="2DC22505" w:rsidR="000A257A" w:rsidRPr="000A257A" w:rsidRDefault="000A257A" w:rsidP="000A257A">
      <w:pPr>
        <w:pStyle w:val="ListParagraph"/>
        <w:numPr>
          <w:ilvl w:val="0"/>
          <w:numId w:val="14"/>
        </w:numPr>
        <w:rPr>
          <w:rFonts w:eastAsia="Arial" w:cs="Calibri"/>
          <w:color w:val="000000" w:themeColor="text1"/>
          <w:sz w:val="22"/>
          <w:szCs w:val="22"/>
        </w:rPr>
      </w:pPr>
      <w:r>
        <w:rPr>
          <w:rFonts w:eastAsia="Arial" w:cs="Calibri"/>
          <w:color w:val="000000" w:themeColor="text1"/>
          <w:sz w:val="22"/>
          <w:szCs w:val="22"/>
        </w:rPr>
        <w:lastRenderedPageBreak/>
        <w:t>Changes to Part III, Policy 1.01 to require</w:t>
      </w:r>
      <w:r w:rsidR="002C3950" w:rsidRPr="00A16084">
        <w:rPr>
          <w:rFonts w:eastAsia="Arial" w:cs="Calibri"/>
          <w:color w:val="000000" w:themeColor="text1"/>
          <w:sz w:val="22"/>
          <w:szCs w:val="22"/>
        </w:rPr>
        <w:t xml:space="preserve"> certain EPPs to provide CAEP with evidence of resources specific to ensuring adequate preparation, health and safety of candidates, if requested. This would apply to EPPs seeking accreditation as a freestanding provider of educator preparation or international EPPs who have achieved and maintained recognition or approval by the appropriate quality assurance agency or entity in the country in which it operates</w:t>
      </w:r>
      <w:r>
        <w:rPr>
          <w:rFonts w:eastAsia="Arial" w:cs="Calibri"/>
          <w:color w:val="000000" w:themeColor="text1"/>
          <w:sz w:val="22"/>
          <w:szCs w:val="22"/>
        </w:rPr>
        <w:t>.</w:t>
      </w:r>
    </w:p>
    <w:p w14:paraId="5EA59A9E" w14:textId="77777777" w:rsidR="002C3950" w:rsidRPr="00A16084" w:rsidRDefault="002C3950" w:rsidP="002C3950">
      <w:pPr>
        <w:pStyle w:val="ListParagraph"/>
        <w:rPr>
          <w:rFonts w:eastAsia="Arial" w:cs="Calibri"/>
          <w:color w:val="000000" w:themeColor="text1"/>
          <w:sz w:val="22"/>
          <w:szCs w:val="22"/>
        </w:rPr>
      </w:pPr>
    </w:p>
    <w:p w14:paraId="12298F1F" w14:textId="15ED83BE" w:rsidR="002C3950" w:rsidRPr="00A16084" w:rsidRDefault="000A257A" w:rsidP="002C3950">
      <w:pPr>
        <w:pStyle w:val="ListParagraph"/>
        <w:numPr>
          <w:ilvl w:val="0"/>
          <w:numId w:val="14"/>
        </w:numPr>
        <w:rPr>
          <w:rFonts w:eastAsia="Arial" w:cs="Calibri"/>
          <w:color w:val="000000" w:themeColor="text1"/>
          <w:sz w:val="22"/>
          <w:szCs w:val="22"/>
        </w:rPr>
      </w:pPr>
      <w:r>
        <w:rPr>
          <w:rFonts w:eastAsia="Arial" w:cs="Calibri"/>
          <w:color w:val="000000" w:themeColor="text1"/>
          <w:sz w:val="22"/>
          <w:szCs w:val="22"/>
        </w:rPr>
        <w:t>Changes to Part VII, Policy 8.01</w:t>
      </w:r>
      <w:r w:rsidR="002C3950" w:rsidRPr="00524CA7">
        <w:rPr>
          <w:rFonts w:eastAsia="Arial" w:cstheme="minorHAnsi"/>
          <w:color w:val="000000" w:themeColor="text1"/>
          <w:sz w:val="22"/>
          <w:szCs w:val="22"/>
        </w:rPr>
        <w:t xml:space="preserve"> </w:t>
      </w:r>
      <w:r w:rsidRPr="00524CA7">
        <w:rPr>
          <w:rFonts w:eastAsia="Arial" w:cstheme="minorHAnsi"/>
          <w:color w:val="000000" w:themeColor="text1"/>
          <w:sz w:val="22"/>
          <w:szCs w:val="22"/>
        </w:rPr>
        <w:t xml:space="preserve">to </w:t>
      </w:r>
      <w:r w:rsidR="002C3950" w:rsidRPr="00524CA7">
        <w:rPr>
          <w:rFonts w:eastAsia="Arial" w:cstheme="minorHAnsi"/>
          <w:color w:val="000000" w:themeColor="text1"/>
          <w:sz w:val="22"/>
          <w:szCs w:val="22"/>
        </w:rPr>
        <w:t>establish a timeline for amendments to Accreditation policy, which would include a public comment period</w:t>
      </w:r>
      <w:r w:rsidR="00524CA7" w:rsidRPr="00524CA7">
        <w:rPr>
          <w:rFonts w:eastAsia="Arial" w:cstheme="minorHAnsi"/>
          <w:color w:val="000000" w:themeColor="text1"/>
          <w:sz w:val="22"/>
          <w:szCs w:val="22"/>
        </w:rPr>
        <w:t>. As appropriate, any such public comment period will</w:t>
      </w:r>
      <w:r w:rsidR="00524CA7" w:rsidRPr="00524CA7">
        <w:rPr>
          <w:rStyle w:val="cf01"/>
          <w:rFonts w:asciiTheme="minorHAnsi" w:hAnsiTheme="minorHAnsi" w:cstheme="minorHAnsi"/>
          <w:sz w:val="22"/>
          <w:szCs w:val="22"/>
        </w:rPr>
        <w:t xml:space="preserve"> include a specific request for input or concerns on the extent to which current or proposed standards support the autonomy of an EPP in determining academic quality as it relates to the mission of the EPP and support an EPP</w:t>
      </w:r>
      <w:r w:rsidR="00524CA7" w:rsidRPr="00524CA7">
        <w:rPr>
          <w:rStyle w:val="cf11"/>
          <w:rFonts w:asciiTheme="minorHAnsi" w:hAnsiTheme="minorHAnsi" w:cstheme="minorHAnsi"/>
          <w:sz w:val="22"/>
          <w:szCs w:val="22"/>
        </w:rPr>
        <w:t>’</w:t>
      </w:r>
      <w:r w:rsidR="00524CA7" w:rsidRPr="00524CA7">
        <w:rPr>
          <w:rStyle w:val="cf01"/>
          <w:rFonts w:asciiTheme="minorHAnsi" w:hAnsiTheme="minorHAnsi" w:cstheme="minorHAnsi"/>
          <w:sz w:val="22"/>
          <w:szCs w:val="22"/>
        </w:rPr>
        <w:t>s implementation of innovative practices.</w:t>
      </w:r>
    </w:p>
    <w:p w14:paraId="6151F5A0" w14:textId="77777777" w:rsidR="002B1355" w:rsidRDefault="002B1355" w:rsidP="002B1355">
      <w:pPr>
        <w:pStyle w:val="paragraph"/>
        <w:spacing w:before="0" w:beforeAutospacing="0" w:after="0" w:afterAutospacing="0"/>
        <w:textAlignment w:val="baseline"/>
        <w:rPr>
          <w:rStyle w:val="normaltextrun"/>
          <w:rFonts w:asciiTheme="minorHAnsi" w:hAnsiTheme="minorHAnsi" w:cstheme="minorHAnsi"/>
          <w:sz w:val="22"/>
          <w:szCs w:val="22"/>
        </w:rPr>
      </w:pPr>
    </w:p>
    <w:p w14:paraId="4A575A5C" w14:textId="77777777" w:rsidR="00871A85" w:rsidRPr="00795A2E" w:rsidRDefault="00871A85" w:rsidP="002B1355">
      <w:pPr>
        <w:pStyle w:val="paragraph"/>
        <w:spacing w:before="0" w:beforeAutospacing="0" w:after="0" w:afterAutospacing="0"/>
        <w:textAlignment w:val="baseline"/>
        <w:rPr>
          <w:rStyle w:val="normaltextrun"/>
          <w:rFonts w:asciiTheme="minorHAnsi" w:hAnsiTheme="minorHAnsi" w:cstheme="minorHAnsi"/>
          <w:sz w:val="22"/>
          <w:szCs w:val="22"/>
        </w:rPr>
      </w:pPr>
    </w:p>
    <w:p w14:paraId="67902E8D" w14:textId="662B0187" w:rsidR="000C5CB2" w:rsidRPr="00795A2E" w:rsidRDefault="000C5CB2" w:rsidP="000C5CB2">
      <w:pPr>
        <w:rPr>
          <w:rFonts w:eastAsia="Arial" w:cstheme="minorHAnsi"/>
          <w:color w:val="000000" w:themeColor="text1"/>
          <w:sz w:val="22"/>
          <w:szCs w:val="22"/>
        </w:rPr>
      </w:pPr>
      <w:r w:rsidRPr="00795A2E">
        <w:rPr>
          <w:rFonts w:eastAsia="Arial" w:cstheme="minorHAnsi"/>
          <w:color w:val="000000" w:themeColor="text1"/>
          <w:sz w:val="22"/>
          <w:szCs w:val="22"/>
        </w:rPr>
        <w:t xml:space="preserve">The amendments to the </w:t>
      </w:r>
      <w:r w:rsidRPr="00AF6F44">
        <w:rPr>
          <w:rFonts w:eastAsia="Arial" w:cstheme="minorHAnsi"/>
          <w:color w:val="000000" w:themeColor="text1"/>
          <w:sz w:val="22"/>
          <w:szCs w:val="22"/>
          <w:u w:val="single"/>
        </w:rPr>
        <w:t>Bylaws</w:t>
      </w:r>
      <w:r w:rsidRPr="00795A2E">
        <w:rPr>
          <w:rFonts w:eastAsia="Arial" w:cstheme="minorHAnsi"/>
          <w:color w:val="000000" w:themeColor="text1"/>
          <w:sz w:val="22"/>
          <w:szCs w:val="22"/>
        </w:rPr>
        <w:t xml:space="preserve"> address the following:</w:t>
      </w:r>
    </w:p>
    <w:p w14:paraId="10A90292" w14:textId="03E33E59" w:rsidR="00AF6F44" w:rsidRDefault="00476ECF" w:rsidP="00AF6F44">
      <w:pPr>
        <w:pStyle w:val="ListParagraph"/>
        <w:numPr>
          <w:ilvl w:val="0"/>
          <w:numId w:val="12"/>
        </w:numPr>
        <w:spacing w:after="200" w:line="276" w:lineRule="auto"/>
        <w:rPr>
          <w:rFonts w:eastAsia="Arial" w:cstheme="minorHAnsi"/>
          <w:color w:val="000000" w:themeColor="text1"/>
          <w:sz w:val="22"/>
          <w:szCs w:val="22"/>
        </w:rPr>
      </w:pPr>
      <w:r>
        <w:rPr>
          <w:rFonts w:eastAsia="Arial" w:cstheme="minorHAnsi"/>
          <w:color w:val="000000" w:themeColor="text1"/>
          <w:sz w:val="22"/>
          <w:szCs w:val="22"/>
        </w:rPr>
        <w:t xml:space="preserve">Changes to Section 6.16 provide information for each Board Committees’ composition and responsibilities and remove the annual charge and plan requirement. Amendments specify the </w:t>
      </w:r>
      <w:r w:rsidR="00AF6F44">
        <w:rPr>
          <w:rFonts w:eastAsia="Arial" w:cstheme="minorHAnsi"/>
          <w:color w:val="000000" w:themeColor="text1"/>
          <w:sz w:val="22"/>
          <w:szCs w:val="22"/>
        </w:rPr>
        <w:t xml:space="preserve">President is authorized to assign any Board Committee more specific tasks than those enumerated within the Bylaws. </w:t>
      </w:r>
      <w:r>
        <w:rPr>
          <w:rFonts w:eastAsia="Arial" w:cstheme="minorHAnsi"/>
          <w:color w:val="000000" w:themeColor="text1"/>
          <w:sz w:val="22"/>
          <w:szCs w:val="22"/>
        </w:rPr>
        <w:t xml:space="preserve">Changes also specify that the </w:t>
      </w:r>
      <w:r w:rsidR="00AF6F44">
        <w:rPr>
          <w:rFonts w:eastAsia="Arial" w:cstheme="minorHAnsi"/>
          <w:color w:val="000000" w:themeColor="text1"/>
          <w:sz w:val="22"/>
          <w:szCs w:val="22"/>
        </w:rPr>
        <w:t>Committee appointment</w:t>
      </w:r>
      <w:r>
        <w:rPr>
          <w:rFonts w:eastAsia="Arial" w:cstheme="minorHAnsi"/>
          <w:color w:val="000000" w:themeColor="text1"/>
          <w:sz w:val="22"/>
          <w:szCs w:val="22"/>
        </w:rPr>
        <w:t>s</w:t>
      </w:r>
      <w:r w:rsidR="00AF6F44">
        <w:rPr>
          <w:rFonts w:eastAsia="Arial" w:cstheme="minorHAnsi"/>
          <w:color w:val="000000" w:themeColor="text1"/>
          <w:sz w:val="22"/>
          <w:szCs w:val="22"/>
        </w:rPr>
        <w:t xml:space="preserve"> </w:t>
      </w:r>
      <w:r>
        <w:rPr>
          <w:rFonts w:eastAsia="Arial" w:cstheme="minorHAnsi"/>
          <w:color w:val="000000" w:themeColor="text1"/>
          <w:sz w:val="22"/>
          <w:szCs w:val="22"/>
        </w:rPr>
        <w:t>are</w:t>
      </w:r>
      <w:r w:rsidR="00AF6F44">
        <w:rPr>
          <w:rFonts w:eastAsia="Arial" w:cstheme="minorHAnsi"/>
          <w:color w:val="000000" w:themeColor="text1"/>
          <w:sz w:val="22"/>
          <w:szCs w:val="22"/>
        </w:rPr>
        <w:t xml:space="preserve"> delegated to the Board Chair and Vice-Chair</w:t>
      </w:r>
      <w:r w:rsidR="00871A85">
        <w:rPr>
          <w:rFonts w:eastAsia="Arial" w:cstheme="minorHAnsi"/>
          <w:color w:val="000000" w:themeColor="text1"/>
          <w:sz w:val="22"/>
          <w:szCs w:val="22"/>
        </w:rPr>
        <w:t xml:space="preserve"> and the Standing Committees are convened only as necessary.</w:t>
      </w:r>
    </w:p>
    <w:p w14:paraId="4B49C1D7" w14:textId="77777777" w:rsidR="00AF6F44" w:rsidRPr="00AF6F44" w:rsidRDefault="00AF6F44" w:rsidP="00AF6F44">
      <w:pPr>
        <w:pStyle w:val="ListParagraph"/>
        <w:spacing w:after="200" w:line="276" w:lineRule="auto"/>
        <w:rPr>
          <w:rFonts w:eastAsia="Arial" w:cstheme="minorHAnsi"/>
          <w:color w:val="000000" w:themeColor="text1"/>
          <w:sz w:val="22"/>
          <w:szCs w:val="22"/>
        </w:rPr>
      </w:pPr>
    </w:p>
    <w:p w14:paraId="6013A5CE" w14:textId="1E7A5A42" w:rsidR="00795A2E" w:rsidRPr="00795A2E" w:rsidRDefault="00476ECF" w:rsidP="00795A2E">
      <w:pPr>
        <w:pStyle w:val="ListParagraph"/>
        <w:numPr>
          <w:ilvl w:val="0"/>
          <w:numId w:val="12"/>
        </w:numPr>
        <w:spacing w:after="200" w:line="276" w:lineRule="auto"/>
        <w:rPr>
          <w:rFonts w:eastAsia="Arial" w:cstheme="minorHAnsi"/>
          <w:color w:val="000000" w:themeColor="text1"/>
          <w:sz w:val="22"/>
          <w:szCs w:val="22"/>
        </w:rPr>
      </w:pPr>
      <w:r>
        <w:rPr>
          <w:rFonts w:eastAsia="Arial" w:cstheme="minorHAnsi"/>
          <w:color w:val="000000" w:themeColor="text1"/>
          <w:sz w:val="22"/>
          <w:szCs w:val="22"/>
        </w:rPr>
        <w:t xml:space="preserve">Changes to Section 6.16 relating to the Executive Committee </w:t>
      </w:r>
      <w:r w:rsidR="00795A2E" w:rsidRPr="00795A2E">
        <w:rPr>
          <w:rFonts w:eastAsia="Arial" w:cstheme="minorHAnsi"/>
          <w:color w:val="000000" w:themeColor="text1"/>
          <w:sz w:val="22"/>
          <w:szCs w:val="22"/>
        </w:rPr>
        <w:t>confirm that the Chair of the Board of Directors will serve as the Chair of the Executive Committee</w:t>
      </w:r>
      <w:r>
        <w:rPr>
          <w:rFonts w:eastAsia="Arial" w:cstheme="minorHAnsi"/>
          <w:color w:val="000000" w:themeColor="text1"/>
          <w:sz w:val="22"/>
          <w:szCs w:val="22"/>
        </w:rPr>
        <w:t xml:space="preserve"> and</w:t>
      </w:r>
      <w:r w:rsidR="00795A2E" w:rsidRPr="00795A2E">
        <w:rPr>
          <w:rFonts w:eastAsia="Arial" w:cstheme="minorHAnsi"/>
          <w:color w:val="000000" w:themeColor="text1"/>
          <w:sz w:val="22"/>
          <w:szCs w:val="22"/>
        </w:rPr>
        <w:t xml:space="preserve"> the Executive Committee will receive an annual briefing from CAEP’s external auditor.</w:t>
      </w:r>
    </w:p>
    <w:p w14:paraId="6CCCB895" w14:textId="77777777" w:rsidR="00795A2E" w:rsidRPr="00795A2E" w:rsidRDefault="00795A2E" w:rsidP="00795A2E">
      <w:pPr>
        <w:pStyle w:val="ListParagraph"/>
        <w:rPr>
          <w:rFonts w:eastAsia="Arial" w:cstheme="minorHAnsi"/>
          <w:color w:val="000000" w:themeColor="text1"/>
          <w:sz w:val="22"/>
          <w:szCs w:val="22"/>
        </w:rPr>
      </w:pPr>
    </w:p>
    <w:p w14:paraId="7011486C" w14:textId="65328364" w:rsidR="00AF6F44" w:rsidRPr="00AF6F44" w:rsidRDefault="00476ECF" w:rsidP="00AF6F44">
      <w:pPr>
        <w:pStyle w:val="ListParagraph"/>
        <w:numPr>
          <w:ilvl w:val="0"/>
          <w:numId w:val="12"/>
        </w:numPr>
        <w:rPr>
          <w:rFonts w:eastAsia="Arial" w:cstheme="minorHAnsi"/>
          <w:color w:val="000000" w:themeColor="text1"/>
          <w:sz w:val="22"/>
          <w:szCs w:val="22"/>
        </w:rPr>
      </w:pPr>
      <w:r>
        <w:rPr>
          <w:rFonts w:eastAsia="Arial" w:cstheme="minorHAnsi"/>
          <w:color w:val="000000" w:themeColor="text1"/>
          <w:sz w:val="22"/>
          <w:szCs w:val="22"/>
        </w:rPr>
        <w:t xml:space="preserve">Changes to Section 6.16 relating to the Audit Committee </w:t>
      </w:r>
      <w:r w:rsidR="00795A2E" w:rsidRPr="00795A2E">
        <w:rPr>
          <w:rFonts w:eastAsia="Arial" w:cstheme="minorHAnsi"/>
          <w:color w:val="000000" w:themeColor="text1"/>
          <w:sz w:val="22"/>
          <w:szCs w:val="22"/>
        </w:rPr>
        <w:t>ensure that CAEP minimizes overlap of members with the Executive Committee, and the Treasurer will not serve on the Audit Committee</w:t>
      </w:r>
      <w:r w:rsidR="00AF6F44">
        <w:rPr>
          <w:rFonts w:eastAsia="Arial" w:cstheme="minorHAnsi"/>
          <w:color w:val="000000" w:themeColor="text1"/>
          <w:sz w:val="22"/>
          <w:szCs w:val="22"/>
        </w:rPr>
        <w:t>, consistent with best practice</w:t>
      </w:r>
      <w:r w:rsidR="00795A2E" w:rsidRPr="00795A2E">
        <w:rPr>
          <w:rFonts w:eastAsia="Arial" w:cstheme="minorHAnsi"/>
          <w:color w:val="000000" w:themeColor="text1"/>
          <w:sz w:val="22"/>
          <w:szCs w:val="22"/>
        </w:rPr>
        <w:t xml:space="preserve">. Amendments also provide for three main roles of the Audit Committee. </w:t>
      </w:r>
    </w:p>
    <w:p w14:paraId="211B84B1" w14:textId="77777777" w:rsidR="00BB5154" w:rsidRPr="00795A2E" w:rsidRDefault="00BB5154" w:rsidP="00BB5154">
      <w:pPr>
        <w:pStyle w:val="paragraph"/>
        <w:spacing w:before="0" w:beforeAutospacing="0" w:after="0" w:afterAutospacing="0"/>
        <w:textAlignment w:val="baseline"/>
        <w:rPr>
          <w:rStyle w:val="normaltextrun"/>
          <w:rFonts w:asciiTheme="minorHAnsi" w:hAnsiTheme="minorHAnsi" w:cstheme="minorHAnsi"/>
          <w:sz w:val="22"/>
          <w:szCs w:val="22"/>
        </w:rPr>
      </w:pPr>
    </w:p>
    <w:bookmarkEnd w:id="1"/>
    <w:p w14:paraId="6C7060D1" w14:textId="77777777" w:rsidR="00871A85" w:rsidRDefault="00871A85" w:rsidP="00AF6F44">
      <w:pPr>
        <w:rPr>
          <w:rFonts w:eastAsia="Arial,Trebuchet MS" w:cstheme="minorHAnsi"/>
          <w:color w:val="000000" w:themeColor="text1"/>
          <w:sz w:val="22"/>
          <w:szCs w:val="22"/>
        </w:rPr>
      </w:pPr>
    </w:p>
    <w:p w14:paraId="1583662B" w14:textId="14326599" w:rsidR="008D11BE" w:rsidRPr="00795A2E" w:rsidRDefault="008D11BE" w:rsidP="00AF6F44">
      <w:pPr>
        <w:rPr>
          <w:rFonts w:eastAsia="Arial,Trebuchet MS" w:cstheme="minorHAnsi"/>
          <w:color w:val="000000" w:themeColor="text1"/>
          <w:sz w:val="22"/>
          <w:szCs w:val="22"/>
        </w:rPr>
      </w:pPr>
      <w:r w:rsidRPr="00795A2E">
        <w:rPr>
          <w:rFonts w:eastAsia="Arial,Trebuchet MS" w:cstheme="minorHAnsi"/>
          <w:color w:val="000000" w:themeColor="text1"/>
          <w:sz w:val="22"/>
          <w:szCs w:val="22"/>
        </w:rPr>
        <w:t xml:space="preserve">The amendments to </w:t>
      </w:r>
      <w:r w:rsidRPr="00AF6F44">
        <w:rPr>
          <w:rFonts w:eastAsia="Arial,Trebuchet MS" w:cstheme="minorHAnsi"/>
          <w:color w:val="000000" w:themeColor="text1"/>
          <w:sz w:val="22"/>
          <w:szCs w:val="22"/>
          <w:u w:val="single"/>
        </w:rPr>
        <w:t>Governance Policy</w:t>
      </w:r>
      <w:r w:rsidRPr="00795A2E">
        <w:rPr>
          <w:rFonts w:eastAsia="Arial,Trebuchet MS" w:cstheme="minorHAnsi"/>
          <w:color w:val="000000" w:themeColor="text1"/>
          <w:sz w:val="22"/>
          <w:szCs w:val="22"/>
        </w:rPr>
        <w:t xml:space="preserve"> address the following:</w:t>
      </w:r>
    </w:p>
    <w:p w14:paraId="10BFC833" w14:textId="552CA90F" w:rsidR="00AF6F44" w:rsidRPr="00AF6F44" w:rsidRDefault="00734545" w:rsidP="00AF6F44">
      <w:pPr>
        <w:pStyle w:val="ListParagraph"/>
        <w:numPr>
          <w:ilvl w:val="0"/>
          <w:numId w:val="13"/>
        </w:numPr>
        <w:rPr>
          <w:rFonts w:eastAsia="Arial" w:cs="Calibri"/>
          <w:color w:val="000000" w:themeColor="text1"/>
          <w:sz w:val="22"/>
          <w:szCs w:val="22"/>
        </w:rPr>
      </w:pPr>
      <w:r>
        <w:rPr>
          <w:rFonts w:eastAsia="Arial" w:cs="Calibri"/>
          <w:color w:val="000000" w:themeColor="text1"/>
          <w:sz w:val="22"/>
          <w:szCs w:val="22"/>
        </w:rPr>
        <w:t xml:space="preserve">Changes to Section III, Policy 7 to delete information that </w:t>
      </w:r>
      <w:r w:rsidR="00AF6F44" w:rsidRPr="00AF6F44">
        <w:rPr>
          <w:rFonts w:eastAsia="Arial" w:cs="Calibri"/>
          <w:color w:val="000000" w:themeColor="text1"/>
          <w:sz w:val="22"/>
          <w:szCs w:val="22"/>
        </w:rPr>
        <w:t xml:space="preserve">encourages those who are being included on a Nominating Committee slate for election as a Director to attend at least one CAEP accreditation review site visit as an observer. </w:t>
      </w:r>
    </w:p>
    <w:p w14:paraId="286FF451" w14:textId="77777777" w:rsidR="00AF6F44" w:rsidRPr="00AF6F44" w:rsidRDefault="00AF6F44" w:rsidP="00AF6F44">
      <w:pPr>
        <w:rPr>
          <w:rFonts w:eastAsia="Arial" w:cs="Calibri"/>
          <w:color w:val="000000" w:themeColor="text1"/>
          <w:sz w:val="22"/>
          <w:szCs w:val="22"/>
        </w:rPr>
      </w:pPr>
    </w:p>
    <w:p w14:paraId="69FC8C35" w14:textId="57A151A2" w:rsidR="00AF6F44" w:rsidRPr="00AF6F44" w:rsidRDefault="00734545" w:rsidP="00AF6F44">
      <w:pPr>
        <w:pStyle w:val="ListParagraph"/>
        <w:numPr>
          <w:ilvl w:val="0"/>
          <w:numId w:val="13"/>
        </w:numPr>
        <w:rPr>
          <w:rFonts w:eastAsia="Arial" w:cs="Calibri"/>
          <w:color w:val="000000" w:themeColor="text1"/>
          <w:sz w:val="22"/>
          <w:szCs w:val="22"/>
        </w:rPr>
      </w:pPr>
      <w:r>
        <w:rPr>
          <w:rFonts w:eastAsia="Arial" w:cs="Calibri"/>
          <w:color w:val="000000" w:themeColor="text1"/>
          <w:sz w:val="22"/>
          <w:szCs w:val="22"/>
        </w:rPr>
        <w:t>Changes to Section III, Policy 10 to</w:t>
      </w:r>
      <w:r w:rsidR="00AF6F44" w:rsidRPr="00AF6F44">
        <w:rPr>
          <w:rFonts w:eastAsia="Arial" w:cs="Calibri"/>
          <w:color w:val="000000" w:themeColor="text1"/>
          <w:sz w:val="22"/>
          <w:szCs w:val="22"/>
        </w:rPr>
        <w:t xml:space="preserve"> eliminate Members Ex Officio from inclusion in sector/subsector assignment. </w:t>
      </w:r>
    </w:p>
    <w:p w14:paraId="189BC3B8" w14:textId="77777777" w:rsidR="00AF6F44" w:rsidRPr="00AF6F44" w:rsidRDefault="00AF6F44" w:rsidP="00AF6F44">
      <w:pPr>
        <w:pStyle w:val="ListParagraph"/>
        <w:rPr>
          <w:rFonts w:eastAsia="Arial" w:cs="Calibri"/>
          <w:color w:val="000000" w:themeColor="text1"/>
          <w:sz w:val="22"/>
          <w:szCs w:val="22"/>
        </w:rPr>
      </w:pPr>
    </w:p>
    <w:p w14:paraId="2AB023FD" w14:textId="665C0D8D" w:rsidR="00AF6F44" w:rsidRPr="00AF6F44" w:rsidRDefault="00734545" w:rsidP="00AF6F44">
      <w:pPr>
        <w:pStyle w:val="ListParagraph"/>
        <w:numPr>
          <w:ilvl w:val="0"/>
          <w:numId w:val="13"/>
        </w:numPr>
        <w:rPr>
          <w:rFonts w:eastAsia="Arial" w:cs="Calibri"/>
          <w:color w:val="000000" w:themeColor="text1"/>
          <w:sz w:val="22"/>
          <w:szCs w:val="22"/>
        </w:rPr>
      </w:pPr>
      <w:r>
        <w:rPr>
          <w:rFonts w:eastAsia="Arial" w:cs="Calibri"/>
          <w:color w:val="000000" w:themeColor="text1"/>
          <w:sz w:val="22"/>
          <w:szCs w:val="22"/>
        </w:rPr>
        <w:t>Changes to Section III, Policy 10 relating to the</w:t>
      </w:r>
      <w:r w:rsidR="00AF6F44" w:rsidRPr="00AF6F44">
        <w:rPr>
          <w:rFonts w:eastAsia="Arial" w:cs="Calibri"/>
          <w:color w:val="000000" w:themeColor="text1"/>
          <w:sz w:val="22"/>
          <w:szCs w:val="22"/>
        </w:rPr>
        <w:t xml:space="preserve"> distribution of members and directors ex officio by sector to give the Nominating Committee and Board more flexibility while preserving the intention of having diverse representation from across all defined areas of the field.</w:t>
      </w:r>
    </w:p>
    <w:p w14:paraId="426178F3" w14:textId="77777777" w:rsidR="00AF6F44" w:rsidRPr="00AF6F44" w:rsidRDefault="00AF6F44" w:rsidP="00AF6F44">
      <w:pPr>
        <w:pStyle w:val="ListParagraph"/>
        <w:rPr>
          <w:rFonts w:eastAsia="Arial" w:cs="Calibri"/>
          <w:color w:val="000000" w:themeColor="text1"/>
          <w:sz w:val="22"/>
          <w:szCs w:val="22"/>
        </w:rPr>
      </w:pPr>
    </w:p>
    <w:p w14:paraId="3069EC87" w14:textId="1E6B0BFE" w:rsidR="00AF6F44" w:rsidRPr="00AF6F44" w:rsidRDefault="00734545" w:rsidP="00AF6F44">
      <w:pPr>
        <w:pStyle w:val="ListParagraph"/>
        <w:numPr>
          <w:ilvl w:val="0"/>
          <w:numId w:val="13"/>
        </w:numPr>
        <w:rPr>
          <w:rFonts w:eastAsia="Arial" w:cs="Calibri"/>
          <w:color w:val="000000" w:themeColor="text1"/>
          <w:sz w:val="22"/>
          <w:szCs w:val="22"/>
        </w:rPr>
      </w:pPr>
      <w:r>
        <w:rPr>
          <w:rFonts w:eastAsia="Arial" w:cs="Calibri"/>
          <w:color w:val="000000" w:themeColor="text1"/>
          <w:sz w:val="22"/>
          <w:szCs w:val="22"/>
        </w:rPr>
        <w:lastRenderedPageBreak/>
        <w:t>Changes to Section III, Policy 16 r</w:t>
      </w:r>
      <w:r w:rsidR="00AF6F44" w:rsidRPr="00AF6F44">
        <w:rPr>
          <w:rFonts w:eastAsia="Arial" w:cs="Calibri"/>
          <w:color w:val="000000" w:themeColor="text1"/>
          <w:sz w:val="22"/>
          <w:szCs w:val="22"/>
        </w:rPr>
        <w:t xml:space="preserve">elating to Board Committee jurisdiction and charge </w:t>
      </w:r>
      <w:r>
        <w:rPr>
          <w:rFonts w:eastAsia="Arial" w:cs="Calibri"/>
          <w:color w:val="000000" w:themeColor="text1"/>
          <w:sz w:val="22"/>
          <w:szCs w:val="22"/>
        </w:rPr>
        <w:t>and to</w:t>
      </w:r>
      <w:r w:rsidR="00AF6F44" w:rsidRPr="00AF6F44">
        <w:rPr>
          <w:rFonts w:eastAsia="Arial" w:cs="Calibri"/>
          <w:color w:val="000000" w:themeColor="text1"/>
          <w:sz w:val="22"/>
          <w:szCs w:val="22"/>
        </w:rPr>
        <w:t xml:space="preserve"> ensure alignment with </w:t>
      </w:r>
      <w:r w:rsidR="00AF6F44">
        <w:rPr>
          <w:rFonts w:eastAsia="Arial" w:cs="Calibri"/>
          <w:color w:val="000000" w:themeColor="text1"/>
          <w:sz w:val="22"/>
          <w:szCs w:val="22"/>
        </w:rPr>
        <w:t>Bylaw amendments</w:t>
      </w:r>
      <w:r w:rsidR="00AF6F44" w:rsidRPr="00AF6F44">
        <w:rPr>
          <w:rFonts w:eastAsia="Arial" w:cs="Calibri"/>
          <w:color w:val="000000" w:themeColor="text1"/>
          <w:sz w:val="22"/>
          <w:szCs w:val="22"/>
        </w:rPr>
        <w:t xml:space="preserve">. </w:t>
      </w:r>
      <w:r>
        <w:rPr>
          <w:rFonts w:eastAsia="Arial" w:cs="Calibri"/>
          <w:color w:val="000000" w:themeColor="text1"/>
          <w:sz w:val="22"/>
          <w:szCs w:val="22"/>
        </w:rPr>
        <w:t>Further amendments streamline and standardize the appointment of committee members.</w:t>
      </w:r>
    </w:p>
    <w:p w14:paraId="23389498" w14:textId="77777777" w:rsidR="00AF6F44" w:rsidRPr="00734545" w:rsidRDefault="00AF6F44" w:rsidP="00734545">
      <w:pPr>
        <w:rPr>
          <w:rFonts w:eastAsia="Arial" w:cstheme="minorHAnsi"/>
          <w:color w:val="000000" w:themeColor="text1"/>
          <w:sz w:val="22"/>
          <w:szCs w:val="22"/>
        </w:rPr>
      </w:pPr>
    </w:p>
    <w:p w14:paraId="4CA95300" w14:textId="2D65ACEB" w:rsidR="00AF6F44" w:rsidRPr="00AF6F44" w:rsidRDefault="00734545" w:rsidP="00AF6F44">
      <w:pPr>
        <w:pStyle w:val="ListParagraph"/>
        <w:numPr>
          <w:ilvl w:val="0"/>
          <w:numId w:val="13"/>
        </w:numPr>
        <w:rPr>
          <w:rFonts w:eastAsia="Arial" w:cstheme="minorHAnsi"/>
          <w:color w:val="000000" w:themeColor="text1"/>
          <w:sz w:val="22"/>
          <w:szCs w:val="22"/>
        </w:rPr>
      </w:pPr>
      <w:r>
        <w:rPr>
          <w:rFonts w:eastAsia="Arial" w:cstheme="minorHAnsi"/>
          <w:color w:val="000000" w:themeColor="text1"/>
          <w:sz w:val="22"/>
          <w:szCs w:val="22"/>
        </w:rPr>
        <w:t xml:space="preserve">Changes to Section V, Policy 1 relating to Corporate Records, and Policy 2 relating to Accreditation Records to specify that these may be retained longer than what is specified in policy, by specific instruction. </w:t>
      </w:r>
    </w:p>
    <w:p w14:paraId="10F56C08" w14:textId="77777777" w:rsidR="00AF6F44" w:rsidRPr="00734545" w:rsidRDefault="00AF6F44" w:rsidP="00734545">
      <w:pPr>
        <w:rPr>
          <w:rFonts w:eastAsia="Arial" w:cstheme="minorHAnsi"/>
          <w:color w:val="000000" w:themeColor="text1"/>
          <w:sz w:val="22"/>
          <w:szCs w:val="22"/>
        </w:rPr>
      </w:pPr>
    </w:p>
    <w:p w14:paraId="323E1918" w14:textId="236548A8" w:rsidR="00AF6F44" w:rsidRPr="00AF6F44" w:rsidRDefault="00CD62A5" w:rsidP="00AF6F44">
      <w:pPr>
        <w:pStyle w:val="ListParagraph"/>
        <w:numPr>
          <w:ilvl w:val="0"/>
          <w:numId w:val="13"/>
        </w:numPr>
        <w:rPr>
          <w:rFonts w:eastAsia="Arial" w:cstheme="minorHAnsi"/>
          <w:color w:val="000000" w:themeColor="text1"/>
          <w:sz w:val="22"/>
          <w:szCs w:val="22"/>
        </w:rPr>
      </w:pPr>
      <w:r>
        <w:rPr>
          <w:rFonts w:eastAsia="Arial" w:cstheme="minorHAnsi"/>
          <w:color w:val="000000" w:themeColor="text1"/>
          <w:sz w:val="22"/>
          <w:szCs w:val="22"/>
        </w:rPr>
        <w:t xml:space="preserve">Section VII would be added to Governance Policy </w:t>
      </w:r>
      <w:r w:rsidR="00AF6F44" w:rsidRPr="00AF6F44">
        <w:rPr>
          <w:rFonts w:eastAsia="Arial" w:cstheme="minorHAnsi"/>
          <w:color w:val="000000" w:themeColor="text1"/>
          <w:sz w:val="22"/>
          <w:szCs w:val="22"/>
        </w:rPr>
        <w:t>to cover Finance issues</w:t>
      </w:r>
      <w:r>
        <w:rPr>
          <w:rFonts w:eastAsia="Arial" w:cstheme="minorHAnsi"/>
          <w:color w:val="000000" w:themeColor="text1"/>
          <w:sz w:val="22"/>
          <w:szCs w:val="22"/>
        </w:rPr>
        <w:t>, including the following new policies</w:t>
      </w:r>
      <w:r w:rsidR="00AF6F44" w:rsidRPr="00AF6F44">
        <w:rPr>
          <w:rFonts w:eastAsia="Arial" w:cstheme="minorHAnsi"/>
          <w:color w:val="000000" w:themeColor="text1"/>
          <w:sz w:val="22"/>
          <w:szCs w:val="22"/>
        </w:rPr>
        <w:t>:</w:t>
      </w:r>
    </w:p>
    <w:p w14:paraId="13556B50" w14:textId="77777777" w:rsidR="00AF6F44" w:rsidRPr="00AF6F44" w:rsidRDefault="00AF6F44" w:rsidP="00AF6F44">
      <w:pPr>
        <w:pStyle w:val="ListParagraph"/>
        <w:numPr>
          <w:ilvl w:val="1"/>
          <w:numId w:val="13"/>
        </w:numPr>
        <w:rPr>
          <w:rFonts w:eastAsia="Arial" w:cstheme="minorHAnsi"/>
          <w:color w:val="000000" w:themeColor="text1"/>
          <w:sz w:val="22"/>
          <w:szCs w:val="22"/>
        </w:rPr>
      </w:pPr>
      <w:r w:rsidRPr="00AF6F44">
        <w:rPr>
          <w:rFonts w:eastAsia="Arial" w:cstheme="minorHAnsi"/>
          <w:color w:val="000000" w:themeColor="text1"/>
          <w:sz w:val="22"/>
          <w:szCs w:val="22"/>
        </w:rPr>
        <w:t>Policy VII.1 Budget</w:t>
      </w:r>
    </w:p>
    <w:p w14:paraId="4F029B60" w14:textId="77777777" w:rsidR="00AF6F44" w:rsidRPr="00AF6F44" w:rsidRDefault="00AF6F44" w:rsidP="00AF6F44">
      <w:pPr>
        <w:pStyle w:val="ListParagraph"/>
        <w:numPr>
          <w:ilvl w:val="1"/>
          <w:numId w:val="13"/>
        </w:numPr>
        <w:rPr>
          <w:rFonts w:eastAsia="Arial" w:cstheme="minorHAnsi"/>
          <w:color w:val="000000" w:themeColor="text1"/>
          <w:sz w:val="22"/>
          <w:szCs w:val="22"/>
        </w:rPr>
      </w:pPr>
      <w:r w:rsidRPr="00AF6F44">
        <w:rPr>
          <w:rFonts w:eastAsia="Arial" w:cstheme="minorHAnsi"/>
          <w:color w:val="000000" w:themeColor="text1"/>
          <w:sz w:val="22"/>
          <w:szCs w:val="22"/>
        </w:rPr>
        <w:t>Policy VII.2 Annual Fees and Dues</w:t>
      </w:r>
    </w:p>
    <w:p w14:paraId="320F9E5F" w14:textId="77777777" w:rsidR="00AF6F44" w:rsidRPr="00AF6F44" w:rsidRDefault="00AF6F44" w:rsidP="00AF6F44">
      <w:pPr>
        <w:pStyle w:val="ListParagraph"/>
        <w:numPr>
          <w:ilvl w:val="1"/>
          <w:numId w:val="13"/>
        </w:numPr>
        <w:rPr>
          <w:rFonts w:eastAsia="Arial" w:cstheme="minorHAnsi"/>
          <w:color w:val="000000" w:themeColor="text1"/>
          <w:sz w:val="22"/>
          <w:szCs w:val="22"/>
        </w:rPr>
      </w:pPr>
      <w:r w:rsidRPr="00AF6F44">
        <w:rPr>
          <w:rFonts w:eastAsia="Arial" w:cstheme="minorHAnsi"/>
          <w:color w:val="000000" w:themeColor="text1"/>
          <w:sz w:val="22"/>
          <w:szCs w:val="22"/>
        </w:rPr>
        <w:t>Policy VII.3 Expenses</w:t>
      </w:r>
    </w:p>
    <w:p w14:paraId="1C3B7CF4" w14:textId="77777777" w:rsidR="00AF6F44" w:rsidRPr="00AF6F44" w:rsidRDefault="00AF6F44" w:rsidP="00AF6F44">
      <w:pPr>
        <w:pStyle w:val="ListParagraph"/>
        <w:numPr>
          <w:ilvl w:val="1"/>
          <w:numId w:val="13"/>
        </w:numPr>
        <w:rPr>
          <w:rFonts w:eastAsia="Arial" w:cstheme="minorHAnsi"/>
          <w:color w:val="000000" w:themeColor="text1"/>
          <w:sz w:val="22"/>
          <w:szCs w:val="22"/>
        </w:rPr>
      </w:pPr>
      <w:r w:rsidRPr="00AF6F44">
        <w:rPr>
          <w:rFonts w:eastAsia="Arial" w:cstheme="minorHAnsi"/>
          <w:color w:val="000000" w:themeColor="text1"/>
          <w:sz w:val="22"/>
          <w:szCs w:val="22"/>
        </w:rPr>
        <w:t>Policy VII.4 Risk Management</w:t>
      </w:r>
    </w:p>
    <w:p w14:paraId="31355955" w14:textId="77777777" w:rsidR="00AF6F44" w:rsidRPr="00AF6F44" w:rsidRDefault="00AF6F44" w:rsidP="00AF6F44">
      <w:pPr>
        <w:pStyle w:val="ListParagraph"/>
        <w:numPr>
          <w:ilvl w:val="1"/>
          <w:numId w:val="13"/>
        </w:numPr>
        <w:rPr>
          <w:rFonts w:eastAsia="Arial" w:cstheme="minorHAnsi"/>
          <w:color w:val="000000" w:themeColor="text1"/>
          <w:sz w:val="22"/>
          <w:szCs w:val="22"/>
        </w:rPr>
      </w:pPr>
      <w:r w:rsidRPr="00AF6F44">
        <w:rPr>
          <w:rFonts w:eastAsia="Arial" w:cstheme="minorHAnsi"/>
          <w:color w:val="000000" w:themeColor="text1"/>
          <w:sz w:val="22"/>
          <w:szCs w:val="22"/>
        </w:rPr>
        <w:t>Policy VII.5 Financial Audit</w:t>
      </w:r>
    </w:p>
    <w:p w14:paraId="66B0F0A9" w14:textId="77777777" w:rsidR="00AF6F44" w:rsidRPr="00AF6F44" w:rsidRDefault="00AF6F44" w:rsidP="00AF6F44">
      <w:pPr>
        <w:pStyle w:val="ListParagraph"/>
        <w:numPr>
          <w:ilvl w:val="1"/>
          <w:numId w:val="13"/>
        </w:numPr>
        <w:rPr>
          <w:rFonts w:eastAsia="Arial" w:cstheme="minorHAnsi"/>
          <w:color w:val="000000" w:themeColor="text1"/>
          <w:sz w:val="22"/>
          <w:szCs w:val="22"/>
        </w:rPr>
      </w:pPr>
      <w:r w:rsidRPr="00AF6F44">
        <w:rPr>
          <w:rFonts w:eastAsia="Arial" w:cstheme="minorHAnsi"/>
          <w:color w:val="000000" w:themeColor="text1"/>
          <w:sz w:val="22"/>
          <w:szCs w:val="22"/>
        </w:rPr>
        <w:t>Policy VII.6 IRS Forms</w:t>
      </w:r>
    </w:p>
    <w:p w14:paraId="2D0D7AFB" w14:textId="77777777" w:rsidR="00AF6F44" w:rsidRPr="00AF6F44" w:rsidRDefault="00AF6F44" w:rsidP="00AF6F44">
      <w:pPr>
        <w:pStyle w:val="ListParagraph"/>
        <w:numPr>
          <w:ilvl w:val="1"/>
          <w:numId w:val="13"/>
        </w:numPr>
        <w:rPr>
          <w:rFonts w:eastAsia="Arial" w:cstheme="minorHAnsi"/>
          <w:color w:val="000000" w:themeColor="text1"/>
          <w:sz w:val="22"/>
          <w:szCs w:val="22"/>
        </w:rPr>
      </w:pPr>
      <w:r w:rsidRPr="00AF6F44">
        <w:rPr>
          <w:rFonts w:eastAsia="Arial" w:cstheme="minorHAnsi"/>
          <w:color w:val="000000" w:themeColor="text1"/>
          <w:sz w:val="22"/>
          <w:szCs w:val="22"/>
        </w:rPr>
        <w:t>Policy VII.7 Investment Policy</w:t>
      </w:r>
    </w:p>
    <w:p w14:paraId="6265B1C2" w14:textId="4AA8C3B7" w:rsidR="00FD762D" w:rsidRPr="00795A2E" w:rsidRDefault="00FD762D" w:rsidP="008E1483">
      <w:pPr>
        <w:spacing w:beforeLines="60" w:before="144" w:afterLines="60" w:after="144"/>
        <w:ind w:left="360"/>
        <w:rPr>
          <w:rFonts w:eastAsia="Arial,Trebuchet MS" w:cstheme="minorHAnsi"/>
          <w:color w:val="000000" w:themeColor="text1"/>
          <w:sz w:val="22"/>
          <w:szCs w:val="22"/>
        </w:rPr>
      </w:pPr>
      <w:r w:rsidRPr="00795A2E">
        <w:rPr>
          <w:rFonts w:eastAsia="Arial,Trebuchet MS" w:cstheme="minorHAnsi"/>
          <w:color w:val="000000" w:themeColor="text1"/>
          <w:sz w:val="22"/>
          <w:szCs w:val="22"/>
        </w:rPr>
        <w:br/>
        <w:t xml:space="preserve">You can find the updated </w:t>
      </w:r>
      <w:r w:rsidR="00175564" w:rsidRPr="00795A2E">
        <w:rPr>
          <w:rFonts w:eastAsia="Arial,Trebuchet MS" w:cstheme="minorHAnsi"/>
          <w:color w:val="000000" w:themeColor="text1"/>
          <w:sz w:val="22"/>
          <w:szCs w:val="22"/>
        </w:rPr>
        <w:t xml:space="preserve">Accreditation Policy and Procedures </w:t>
      </w:r>
      <w:commentRangeStart w:id="2"/>
      <w:r w:rsidR="00175564" w:rsidRPr="00795A2E">
        <w:rPr>
          <w:rFonts w:eastAsia="Arial,Trebuchet MS" w:cstheme="minorHAnsi"/>
          <w:color w:val="000000" w:themeColor="text1"/>
          <w:sz w:val="22"/>
          <w:szCs w:val="22"/>
        </w:rPr>
        <w:t xml:space="preserve">[hyperlink needed once it is </w:t>
      </w:r>
      <w:r w:rsidR="0093231D" w:rsidRPr="00795A2E">
        <w:rPr>
          <w:rFonts w:eastAsia="Arial,Trebuchet MS" w:cstheme="minorHAnsi"/>
          <w:color w:val="000000" w:themeColor="text1"/>
          <w:sz w:val="22"/>
          <w:szCs w:val="22"/>
        </w:rPr>
        <w:t>posted</w:t>
      </w:r>
      <w:r w:rsidR="00175564" w:rsidRPr="00795A2E">
        <w:rPr>
          <w:rFonts w:eastAsia="Arial,Trebuchet MS" w:cstheme="minorHAnsi"/>
          <w:color w:val="000000" w:themeColor="text1"/>
          <w:sz w:val="22"/>
          <w:szCs w:val="22"/>
        </w:rPr>
        <w:t xml:space="preserve">] </w:t>
      </w:r>
      <w:commentRangeEnd w:id="2"/>
      <w:r w:rsidR="00086310" w:rsidRPr="00795A2E">
        <w:rPr>
          <w:rStyle w:val="CommentReference"/>
          <w:rFonts w:cstheme="minorHAnsi"/>
          <w:sz w:val="22"/>
          <w:szCs w:val="22"/>
        </w:rPr>
        <w:commentReference w:id="2"/>
      </w:r>
      <w:r w:rsidRPr="00795A2E">
        <w:rPr>
          <w:rFonts w:eastAsia="Arial,Trebuchet MS" w:cstheme="minorHAnsi"/>
          <w:color w:val="000000" w:themeColor="text1"/>
          <w:sz w:val="22"/>
          <w:szCs w:val="22"/>
        </w:rPr>
        <w:t xml:space="preserve">document on the </w:t>
      </w:r>
      <w:hyperlink r:id="rId13" w:history="1">
        <w:r w:rsidR="00175564" w:rsidRPr="00795A2E">
          <w:rPr>
            <w:rStyle w:val="Hyperlink"/>
            <w:rFonts w:eastAsia="Arial,Trebuchet MS" w:cstheme="minorHAnsi"/>
            <w:color w:val="538135" w:themeColor="accent6" w:themeShade="BF"/>
            <w:sz w:val="22"/>
            <w:szCs w:val="22"/>
          </w:rPr>
          <w:t>Accreditation Resources Pages</w:t>
        </w:r>
      </w:hyperlink>
      <w:r w:rsidRPr="00795A2E">
        <w:rPr>
          <w:rFonts w:eastAsia="Arial,Trebuchet MS" w:cstheme="minorHAnsi"/>
          <w:color w:val="000000" w:themeColor="text1"/>
          <w:sz w:val="22"/>
          <w:szCs w:val="22"/>
        </w:rPr>
        <w:t xml:space="preserve">. </w:t>
      </w:r>
      <w:r w:rsidR="006660EB" w:rsidRPr="00795A2E">
        <w:rPr>
          <w:rFonts w:eastAsia="Arial,Trebuchet MS" w:cstheme="minorHAnsi"/>
          <w:color w:val="000000" w:themeColor="text1"/>
          <w:sz w:val="22"/>
          <w:szCs w:val="22"/>
        </w:rPr>
        <w:t>The updated Governance Policy [</w:t>
      </w:r>
      <w:r w:rsidR="006660EB" w:rsidRPr="00795A2E">
        <w:rPr>
          <w:rFonts w:eastAsia="Arial,Trebuchet MS" w:cstheme="minorHAnsi"/>
          <w:color w:val="000000" w:themeColor="text1"/>
          <w:sz w:val="22"/>
          <w:szCs w:val="22"/>
          <w:highlight w:val="yellow"/>
        </w:rPr>
        <w:t>hyperlink needed once it is posted</w:t>
      </w:r>
      <w:r w:rsidR="006660EB" w:rsidRPr="00795A2E">
        <w:rPr>
          <w:rFonts w:eastAsia="Arial,Trebuchet MS" w:cstheme="minorHAnsi"/>
          <w:color w:val="000000" w:themeColor="text1"/>
          <w:sz w:val="22"/>
          <w:szCs w:val="22"/>
        </w:rPr>
        <w:t xml:space="preserve">] is available on the </w:t>
      </w:r>
      <w:hyperlink r:id="rId14" w:history="1">
        <w:r w:rsidR="006660EB" w:rsidRPr="00795A2E">
          <w:rPr>
            <w:rStyle w:val="Hyperlink"/>
            <w:rFonts w:eastAsia="Arial,Trebuchet MS" w:cstheme="minorHAnsi"/>
            <w:sz w:val="22"/>
            <w:szCs w:val="22"/>
          </w:rPr>
          <w:t>Governance Page</w:t>
        </w:r>
      </w:hyperlink>
      <w:r w:rsidR="006660EB" w:rsidRPr="00795A2E">
        <w:rPr>
          <w:rFonts w:eastAsia="Arial,Trebuchet MS" w:cstheme="minorHAnsi"/>
          <w:color w:val="000000" w:themeColor="text1"/>
          <w:sz w:val="22"/>
          <w:szCs w:val="22"/>
        </w:rPr>
        <w:t xml:space="preserve">. </w:t>
      </w:r>
      <w:r w:rsidR="00A91F56">
        <w:rPr>
          <w:rFonts w:eastAsia="Arial,Trebuchet MS" w:cstheme="minorHAnsi"/>
          <w:color w:val="000000" w:themeColor="text1"/>
          <w:sz w:val="22"/>
          <w:szCs w:val="22"/>
        </w:rPr>
        <w:t>The updated Bylaws [</w:t>
      </w:r>
      <w:r w:rsidR="00A91F56" w:rsidRPr="00A91F56">
        <w:rPr>
          <w:rFonts w:eastAsia="Arial,Trebuchet MS" w:cstheme="minorHAnsi"/>
          <w:color w:val="000000" w:themeColor="text1"/>
          <w:sz w:val="22"/>
          <w:szCs w:val="22"/>
          <w:highlight w:val="yellow"/>
        </w:rPr>
        <w:t>hyperlink needed once it is posted</w:t>
      </w:r>
      <w:r w:rsidR="00A91F56">
        <w:rPr>
          <w:rFonts w:eastAsia="Arial,Trebuchet MS" w:cstheme="minorHAnsi"/>
          <w:color w:val="000000" w:themeColor="text1"/>
          <w:sz w:val="22"/>
          <w:szCs w:val="22"/>
        </w:rPr>
        <w:t xml:space="preserve">] are available on the </w:t>
      </w:r>
      <w:hyperlink r:id="rId15" w:history="1">
        <w:r w:rsidR="008D363C" w:rsidRPr="00795A2E">
          <w:rPr>
            <w:rStyle w:val="Hyperlink"/>
            <w:rFonts w:eastAsia="Arial,Trebuchet MS" w:cstheme="minorHAnsi"/>
            <w:sz w:val="22"/>
            <w:szCs w:val="22"/>
          </w:rPr>
          <w:t>Governance Page</w:t>
        </w:r>
      </w:hyperlink>
      <w:r w:rsidR="00A91F56">
        <w:rPr>
          <w:rFonts w:eastAsia="Arial,Trebuchet MS" w:cstheme="minorHAnsi"/>
          <w:color w:val="000000" w:themeColor="text1"/>
          <w:sz w:val="22"/>
          <w:szCs w:val="22"/>
        </w:rPr>
        <w:t>.</w:t>
      </w:r>
      <w:r w:rsidR="008D363C">
        <w:rPr>
          <w:rFonts w:eastAsia="Arial,Trebuchet MS" w:cstheme="minorHAnsi"/>
          <w:color w:val="000000" w:themeColor="text1"/>
          <w:sz w:val="22"/>
          <w:szCs w:val="22"/>
        </w:rPr>
        <w:t xml:space="preserve"> </w:t>
      </w:r>
      <w:r w:rsidRPr="00795A2E">
        <w:rPr>
          <w:rFonts w:eastAsia="Arial,Trebuchet MS" w:cstheme="minorHAnsi"/>
          <w:color w:val="000000" w:themeColor="text1"/>
          <w:sz w:val="22"/>
          <w:szCs w:val="22"/>
        </w:rPr>
        <w:t xml:space="preserve">All changes will take effect </w:t>
      </w:r>
      <w:r w:rsidR="00545C0A" w:rsidRPr="00795A2E">
        <w:rPr>
          <w:rFonts w:eastAsia="Arial,Trebuchet MS" w:cstheme="minorHAnsi"/>
          <w:color w:val="000000" w:themeColor="text1"/>
          <w:sz w:val="22"/>
          <w:szCs w:val="22"/>
        </w:rPr>
        <w:t>July</w:t>
      </w:r>
      <w:r w:rsidRPr="00795A2E">
        <w:rPr>
          <w:rFonts w:eastAsia="Arial,Trebuchet MS" w:cstheme="minorHAnsi"/>
          <w:color w:val="000000" w:themeColor="text1"/>
          <w:sz w:val="22"/>
          <w:szCs w:val="22"/>
        </w:rPr>
        <w:t xml:space="preserve"> 1, </w:t>
      </w:r>
      <w:r w:rsidR="008F3602" w:rsidRPr="00795A2E">
        <w:rPr>
          <w:rFonts w:eastAsia="Arial,Trebuchet MS" w:cstheme="minorHAnsi"/>
          <w:color w:val="000000" w:themeColor="text1"/>
          <w:sz w:val="22"/>
          <w:szCs w:val="22"/>
        </w:rPr>
        <w:t>202</w:t>
      </w:r>
      <w:r w:rsidR="00A91F56">
        <w:rPr>
          <w:rFonts w:eastAsia="Arial,Trebuchet MS" w:cstheme="minorHAnsi"/>
          <w:color w:val="000000" w:themeColor="text1"/>
          <w:sz w:val="22"/>
          <w:szCs w:val="22"/>
        </w:rPr>
        <w:t>3</w:t>
      </w:r>
      <w:r w:rsidRPr="00795A2E">
        <w:rPr>
          <w:rFonts w:eastAsia="Arial,Trebuchet MS" w:cstheme="minorHAnsi"/>
          <w:color w:val="000000" w:themeColor="text1"/>
          <w:sz w:val="22"/>
          <w:szCs w:val="22"/>
        </w:rPr>
        <w:t xml:space="preserve">. </w:t>
      </w:r>
    </w:p>
    <w:p w14:paraId="16D24ABF" w14:textId="77777777" w:rsidR="00961352" w:rsidRPr="00795A2E" w:rsidRDefault="00961352">
      <w:pPr>
        <w:rPr>
          <w:rFonts w:cstheme="minorHAnsi"/>
          <w:sz w:val="22"/>
          <w:szCs w:val="22"/>
        </w:rPr>
      </w:pPr>
    </w:p>
    <w:sectPr w:rsidR="00961352" w:rsidRPr="00795A2E" w:rsidSect="00FA19EB">
      <w:footerReference w:type="even" r:id="rId16"/>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ndrea Johnson" w:date="2021-06-16T12:38:00Z" w:initials="AJ">
    <w:p w14:paraId="0A69F594" w14:textId="7A5D5634" w:rsidR="00086310" w:rsidRDefault="00086310">
      <w:pPr>
        <w:pStyle w:val="CommentText"/>
      </w:pPr>
      <w:r>
        <w:rPr>
          <w:rStyle w:val="CommentReference"/>
        </w:rPr>
        <w:annotationRef/>
      </w:r>
      <w:r>
        <w:t>Need to add hyperlink.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69F5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46F3B" w16cex:dateUtc="2021-06-16T1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69F594" w16cid:durableId="24746F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5F7E6" w14:textId="77777777" w:rsidR="00FA66B4" w:rsidRDefault="00FA66B4" w:rsidP="000A257A">
      <w:r>
        <w:separator/>
      </w:r>
    </w:p>
  </w:endnote>
  <w:endnote w:type="continuationSeparator" w:id="0">
    <w:p w14:paraId="39B74D51" w14:textId="77777777" w:rsidR="00FA66B4" w:rsidRDefault="00FA66B4" w:rsidP="000A2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Trebuchet M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1429752"/>
      <w:docPartObj>
        <w:docPartGallery w:val="Page Numbers (Bottom of Page)"/>
        <w:docPartUnique/>
      </w:docPartObj>
    </w:sdtPr>
    <w:sdtEndPr>
      <w:rPr>
        <w:rStyle w:val="PageNumber"/>
      </w:rPr>
    </w:sdtEndPr>
    <w:sdtContent>
      <w:p w14:paraId="56A2A6AC" w14:textId="2760409F" w:rsidR="000A257A" w:rsidRDefault="000A257A" w:rsidP="00E80D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F38E30" w14:textId="77777777" w:rsidR="000A257A" w:rsidRDefault="000A257A" w:rsidP="000A25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4813743"/>
      <w:docPartObj>
        <w:docPartGallery w:val="Page Numbers (Bottom of Page)"/>
        <w:docPartUnique/>
      </w:docPartObj>
    </w:sdtPr>
    <w:sdtEndPr>
      <w:rPr>
        <w:rStyle w:val="PageNumber"/>
      </w:rPr>
    </w:sdtEndPr>
    <w:sdtContent>
      <w:p w14:paraId="7D0546A0" w14:textId="726E5574" w:rsidR="000A257A" w:rsidRDefault="000A257A" w:rsidP="00E80D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E4F7DA" w14:textId="77777777" w:rsidR="000A257A" w:rsidRDefault="000A257A" w:rsidP="000A257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A7A12" w14:textId="77777777" w:rsidR="00FA66B4" w:rsidRDefault="00FA66B4" w:rsidP="000A257A">
      <w:r>
        <w:separator/>
      </w:r>
    </w:p>
  </w:footnote>
  <w:footnote w:type="continuationSeparator" w:id="0">
    <w:p w14:paraId="7D9A8496" w14:textId="77777777" w:rsidR="00FA66B4" w:rsidRDefault="00FA66B4" w:rsidP="000A2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5384"/>
    <w:multiLevelType w:val="hybridMultilevel"/>
    <w:tmpl w:val="6B922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16688"/>
    <w:multiLevelType w:val="hybridMultilevel"/>
    <w:tmpl w:val="5F580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7340A"/>
    <w:multiLevelType w:val="hybridMultilevel"/>
    <w:tmpl w:val="C3BEF8FC"/>
    <w:lvl w:ilvl="0" w:tplc="E2928C24">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20EAC"/>
    <w:multiLevelType w:val="multilevel"/>
    <w:tmpl w:val="12B0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FC356C"/>
    <w:multiLevelType w:val="hybridMultilevel"/>
    <w:tmpl w:val="61CA2282"/>
    <w:lvl w:ilvl="0" w:tplc="F6500D8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D95B36"/>
    <w:multiLevelType w:val="hybridMultilevel"/>
    <w:tmpl w:val="BEDEF128"/>
    <w:lvl w:ilvl="0" w:tplc="E2928C24">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DD2E50"/>
    <w:multiLevelType w:val="hybridMultilevel"/>
    <w:tmpl w:val="F99A4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1F4A77"/>
    <w:multiLevelType w:val="hybridMultilevel"/>
    <w:tmpl w:val="0584E4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2EE67AF"/>
    <w:multiLevelType w:val="hybridMultilevel"/>
    <w:tmpl w:val="CE7E5EA6"/>
    <w:lvl w:ilvl="0" w:tplc="6C3479FE">
      <w:start w:val="1"/>
      <w:numFmt w:val="decimal"/>
      <w:lvlText w:val="%1."/>
      <w:lvlJc w:val="left"/>
      <w:pPr>
        <w:ind w:left="720" w:hanging="360"/>
      </w:pPr>
      <w:rPr>
        <w:rFonts w:hint="default"/>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FE3E8C"/>
    <w:multiLevelType w:val="hybridMultilevel"/>
    <w:tmpl w:val="72CEB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027DE7"/>
    <w:multiLevelType w:val="hybridMultilevel"/>
    <w:tmpl w:val="A54E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761E14"/>
    <w:multiLevelType w:val="hybridMultilevel"/>
    <w:tmpl w:val="3F342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A75D5E"/>
    <w:multiLevelType w:val="hybridMultilevel"/>
    <w:tmpl w:val="44DE8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094D59"/>
    <w:multiLevelType w:val="multilevel"/>
    <w:tmpl w:val="19540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97164292">
    <w:abstractNumId w:val="8"/>
  </w:num>
  <w:num w:numId="2" w16cid:durableId="1519851695">
    <w:abstractNumId w:val="4"/>
  </w:num>
  <w:num w:numId="3" w16cid:durableId="1739286664">
    <w:abstractNumId w:val="7"/>
  </w:num>
  <w:num w:numId="4" w16cid:durableId="11424714">
    <w:abstractNumId w:val="2"/>
  </w:num>
  <w:num w:numId="5" w16cid:durableId="440614131">
    <w:abstractNumId w:val="3"/>
  </w:num>
  <w:num w:numId="6" w16cid:durableId="192810045">
    <w:abstractNumId w:val="13"/>
  </w:num>
  <w:num w:numId="7" w16cid:durableId="1855194014">
    <w:abstractNumId w:val="5"/>
  </w:num>
  <w:num w:numId="8" w16cid:durableId="421031798">
    <w:abstractNumId w:val="11"/>
  </w:num>
  <w:num w:numId="9" w16cid:durableId="985862179">
    <w:abstractNumId w:val="1"/>
  </w:num>
  <w:num w:numId="10" w16cid:durableId="1489327236">
    <w:abstractNumId w:val="12"/>
  </w:num>
  <w:num w:numId="11" w16cid:durableId="1330018027">
    <w:abstractNumId w:val="10"/>
  </w:num>
  <w:num w:numId="12" w16cid:durableId="991444334">
    <w:abstractNumId w:val="6"/>
  </w:num>
  <w:num w:numId="13" w16cid:durableId="1825049237">
    <w:abstractNumId w:val="9"/>
  </w:num>
  <w:num w:numId="14" w16cid:durableId="73374530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a Johnson">
    <w15:presenceInfo w15:providerId="AD" w15:userId="S::andrea.johnson@flpadvisors.com::6c9be0f9-086e-45e6-ad06-c7ea2c0f9f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3B9"/>
    <w:rsid w:val="00022376"/>
    <w:rsid w:val="000360DC"/>
    <w:rsid w:val="000433EE"/>
    <w:rsid w:val="00080B40"/>
    <w:rsid w:val="00086310"/>
    <w:rsid w:val="00092001"/>
    <w:rsid w:val="00094101"/>
    <w:rsid w:val="000A257A"/>
    <w:rsid w:val="000B781B"/>
    <w:rsid w:val="000C5CB2"/>
    <w:rsid w:val="000F0462"/>
    <w:rsid w:val="00101BE6"/>
    <w:rsid w:val="00175564"/>
    <w:rsid w:val="00180A91"/>
    <w:rsid w:val="002A03B1"/>
    <w:rsid w:val="002B1355"/>
    <w:rsid w:val="002B158E"/>
    <w:rsid w:val="002C3950"/>
    <w:rsid w:val="003075A1"/>
    <w:rsid w:val="004336D8"/>
    <w:rsid w:val="00456994"/>
    <w:rsid w:val="004646D2"/>
    <w:rsid w:val="00465DF0"/>
    <w:rsid w:val="00475C1D"/>
    <w:rsid w:val="00476ECF"/>
    <w:rsid w:val="004C068D"/>
    <w:rsid w:val="004C6D4D"/>
    <w:rsid w:val="004E57FD"/>
    <w:rsid w:val="00524CA7"/>
    <w:rsid w:val="00545C0A"/>
    <w:rsid w:val="00566865"/>
    <w:rsid w:val="00574570"/>
    <w:rsid w:val="006432A3"/>
    <w:rsid w:val="006660EB"/>
    <w:rsid w:val="00683BC3"/>
    <w:rsid w:val="006A37B1"/>
    <w:rsid w:val="006F6BB3"/>
    <w:rsid w:val="00734545"/>
    <w:rsid w:val="00783D57"/>
    <w:rsid w:val="00795A2E"/>
    <w:rsid w:val="007C0518"/>
    <w:rsid w:val="00834D0A"/>
    <w:rsid w:val="008557C3"/>
    <w:rsid w:val="00871A85"/>
    <w:rsid w:val="0087423A"/>
    <w:rsid w:val="008965B5"/>
    <w:rsid w:val="008D03B9"/>
    <w:rsid w:val="008D11BE"/>
    <w:rsid w:val="008D363C"/>
    <w:rsid w:val="008E1483"/>
    <w:rsid w:val="008F3602"/>
    <w:rsid w:val="00905445"/>
    <w:rsid w:val="0093231D"/>
    <w:rsid w:val="009465A2"/>
    <w:rsid w:val="00961352"/>
    <w:rsid w:val="00974397"/>
    <w:rsid w:val="00A16084"/>
    <w:rsid w:val="00A323A5"/>
    <w:rsid w:val="00A45EB2"/>
    <w:rsid w:val="00A91F56"/>
    <w:rsid w:val="00AF1CB2"/>
    <w:rsid w:val="00AF6F44"/>
    <w:rsid w:val="00B0572B"/>
    <w:rsid w:val="00B6480E"/>
    <w:rsid w:val="00B65E02"/>
    <w:rsid w:val="00B90A29"/>
    <w:rsid w:val="00BB5154"/>
    <w:rsid w:val="00BE3960"/>
    <w:rsid w:val="00CB0A7F"/>
    <w:rsid w:val="00CB2241"/>
    <w:rsid w:val="00CB76F5"/>
    <w:rsid w:val="00CD62A5"/>
    <w:rsid w:val="00D075F2"/>
    <w:rsid w:val="00D25977"/>
    <w:rsid w:val="00E06ACA"/>
    <w:rsid w:val="00E3101A"/>
    <w:rsid w:val="00ED356A"/>
    <w:rsid w:val="00EE0F9F"/>
    <w:rsid w:val="00EF48A9"/>
    <w:rsid w:val="00F22A5B"/>
    <w:rsid w:val="00F7212E"/>
    <w:rsid w:val="00F84E45"/>
    <w:rsid w:val="00FA19EB"/>
    <w:rsid w:val="00FA66B4"/>
    <w:rsid w:val="00FB6694"/>
    <w:rsid w:val="00FD7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082AA"/>
  <w15:chartTrackingRefBased/>
  <w15:docId w15:val="{47F775D1-69A8-F147-A73D-5C2F5AFD3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rsid w:val="00961352"/>
    <w:rPr>
      <w:rFonts w:ascii="Times New Roman" w:eastAsia="Times New Roman" w:hAnsi="Times New Roman" w:cs="Times New Roman"/>
      <w:sz w:val="20"/>
      <w:szCs w:val="20"/>
    </w:rPr>
  </w:style>
  <w:style w:type="paragraph" w:customStyle="1" w:styleId="Style-4">
    <w:name w:val="Style-4"/>
    <w:rsid w:val="00961352"/>
    <w:rPr>
      <w:rFonts w:ascii="Times New Roman" w:eastAsia="Times New Roman" w:hAnsi="Times New Roman" w:cs="Times New Roman"/>
      <w:sz w:val="20"/>
      <w:szCs w:val="20"/>
    </w:rPr>
  </w:style>
  <w:style w:type="paragraph" w:customStyle="1" w:styleId="Body">
    <w:name w:val="Body"/>
    <w:rsid w:val="00961352"/>
    <w:pPr>
      <w:pBdr>
        <w:top w:val="nil"/>
        <w:left w:val="nil"/>
        <w:bottom w:val="nil"/>
        <w:right w:val="nil"/>
        <w:between w:val="nil"/>
        <w:bar w:val="nil"/>
      </w:pBdr>
    </w:pPr>
    <w:rPr>
      <w:rFonts w:ascii="Calibri" w:eastAsia="Calibri" w:hAnsi="Calibri" w:cs="Calibri"/>
      <w:color w:val="000000"/>
      <w:sz w:val="21"/>
      <w:szCs w:val="21"/>
      <w:u w:color="000000"/>
      <w:bdr w:val="nil"/>
    </w:rPr>
  </w:style>
  <w:style w:type="paragraph" w:styleId="ListParagraph">
    <w:name w:val="List Paragraph"/>
    <w:basedOn w:val="Normal"/>
    <w:uiPriority w:val="34"/>
    <w:qFormat/>
    <w:rsid w:val="00566865"/>
    <w:pPr>
      <w:ind w:left="720"/>
      <w:contextualSpacing/>
    </w:pPr>
  </w:style>
  <w:style w:type="character" w:styleId="Hyperlink">
    <w:name w:val="Hyperlink"/>
    <w:basedOn w:val="DefaultParagraphFont"/>
    <w:uiPriority w:val="99"/>
    <w:unhideWhenUsed/>
    <w:rsid w:val="00FD762D"/>
    <w:rPr>
      <w:color w:val="0563C1" w:themeColor="hyperlink"/>
      <w:u w:val="single"/>
    </w:rPr>
  </w:style>
  <w:style w:type="character" w:styleId="UnresolvedMention">
    <w:name w:val="Unresolved Mention"/>
    <w:basedOn w:val="DefaultParagraphFont"/>
    <w:uiPriority w:val="99"/>
    <w:semiHidden/>
    <w:unhideWhenUsed/>
    <w:rsid w:val="00FD762D"/>
    <w:rPr>
      <w:color w:val="605E5C"/>
      <w:shd w:val="clear" w:color="auto" w:fill="E1DFDD"/>
    </w:rPr>
  </w:style>
  <w:style w:type="character" w:styleId="FollowedHyperlink">
    <w:name w:val="FollowedHyperlink"/>
    <w:basedOn w:val="DefaultParagraphFont"/>
    <w:uiPriority w:val="99"/>
    <w:semiHidden/>
    <w:unhideWhenUsed/>
    <w:rsid w:val="00FD762D"/>
    <w:rPr>
      <w:color w:val="954F72" w:themeColor="followedHyperlink"/>
      <w:u w:val="single"/>
    </w:rPr>
  </w:style>
  <w:style w:type="paragraph" w:styleId="BalloonText">
    <w:name w:val="Balloon Text"/>
    <w:basedOn w:val="Normal"/>
    <w:link w:val="BalloonTextChar"/>
    <w:uiPriority w:val="99"/>
    <w:semiHidden/>
    <w:unhideWhenUsed/>
    <w:rsid w:val="008965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5B5"/>
    <w:rPr>
      <w:rFonts w:ascii="Segoe UI" w:hAnsi="Segoe UI" w:cs="Segoe UI"/>
      <w:sz w:val="18"/>
      <w:szCs w:val="18"/>
    </w:rPr>
  </w:style>
  <w:style w:type="character" w:customStyle="1" w:styleId="normaltextrun">
    <w:name w:val="normaltextrun"/>
    <w:basedOn w:val="DefaultParagraphFont"/>
    <w:rsid w:val="00A45EB2"/>
  </w:style>
  <w:style w:type="character" w:customStyle="1" w:styleId="apple-converted-space">
    <w:name w:val="apple-converted-space"/>
    <w:basedOn w:val="DefaultParagraphFont"/>
    <w:rsid w:val="00A45EB2"/>
  </w:style>
  <w:style w:type="character" w:customStyle="1" w:styleId="eop">
    <w:name w:val="eop"/>
    <w:basedOn w:val="DefaultParagraphFont"/>
    <w:rsid w:val="00A45EB2"/>
  </w:style>
  <w:style w:type="paragraph" w:customStyle="1" w:styleId="paragraph">
    <w:name w:val="paragraph"/>
    <w:basedOn w:val="Normal"/>
    <w:rsid w:val="00A45EB2"/>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545C0A"/>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unhideWhenUsed/>
    <w:rsid w:val="00086310"/>
    <w:rPr>
      <w:sz w:val="16"/>
      <w:szCs w:val="16"/>
    </w:rPr>
  </w:style>
  <w:style w:type="paragraph" w:styleId="CommentText">
    <w:name w:val="annotation text"/>
    <w:basedOn w:val="Normal"/>
    <w:link w:val="CommentTextChar"/>
    <w:uiPriority w:val="99"/>
    <w:semiHidden/>
    <w:unhideWhenUsed/>
    <w:rsid w:val="00086310"/>
    <w:rPr>
      <w:sz w:val="20"/>
      <w:szCs w:val="20"/>
    </w:rPr>
  </w:style>
  <w:style w:type="character" w:customStyle="1" w:styleId="CommentTextChar">
    <w:name w:val="Comment Text Char"/>
    <w:basedOn w:val="DefaultParagraphFont"/>
    <w:link w:val="CommentText"/>
    <w:uiPriority w:val="99"/>
    <w:semiHidden/>
    <w:rsid w:val="00086310"/>
    <w:rPr>
      <w:sz w:val="20"/>
      <w:szCs w:val="20"/>
    </w:rPr>
  </w:style>
  <w:style w:type="paragraph" w:styleId="CommentSubject">
    <w:name w:val="annotation subject"/>
    <w:basedOn w:val="CommentText"/>
    <w:next w:val="CommentText"/>
    <w:link w:val="CommentSubjectChar"/>
    <w:uiPriority w:val="99"/>
    <w:semiHidden/>
    <w:unhideWhenUsed/>
    <w:rsid w:val="00086310"/>
    <w:rPr>
      <w:b/>
      <w:bCs/>
    </w:rPr>
  </w:style>
  <w:style w:type="character" w:customStyle="1" w:styleId="CommentSubjectChar">
    <w:name w:val="Comment Subject Char"/>
    <w:basedOn w:val="CommentTextChar"/>
    <w:link w:val="CommentSubject"/>
    <w:uiPriority w:val="99"/>
    <w:semiHidden/>
    <w:rsid w:val="00086310"/>
    <w:rPr>
      <w:b/>
      <w:bCs/>
      <w:sz w:val="20"/>
      <w:szCs w:val="20"/>
    </w:rPr>
  </w:style>
  <w:style w:type="paragraph" w:styleId="Revision">
    <w:name w:val="Revision"/>
    <w:hidden/>
    <w:uiPriority w:val="99"/>
    <w:semiHidden/>
    <w:rsid w:val="004E57FD"/>
  </w:style>
  <w:style w:type="paragraph" w:styleId="Footer">
    <w:name w:val="footer"/>
    <w:basedOn w:val="Normal"/>
    <w:link w:val="FooterChar"/>
    <w:uiPriority w:val="99"/>
    <w:unhideWhenUsed/>
    <w:rsid w:val="000A257A"/>
    <w:pPr>
      <w:tabs>
        <w:tab w:val="center" w:pos="4680"/>
        <w:tab w:val="right" w:pos="9360"/>
      </w:tabs>
    </w:pPr>
  </w:style>
  <w:style w:type="character" w:customStyle="1" w:styleId="FooterChar">
    <w:name w:val="Footer Char"/>
    <w:basedOn w:val="DefaultParagraphFont"/>
    <w:link w:val="Footer"/>
    <w:uiPriority w:val="99"/>
    <w:rsid w:val="000A257A"/>
  </w:style>
  <w:style w:type="character" w:styleId="PageNumber">
    <w:name w:val="page number"/>
    <w:basedOn w:val="DefaultParagraphFont"/>
    <w:uiPriority w:val="99"/>
    <w:semiHidden/>
    <w:unhideWhenUsed/>
    <w:rsid w:val="000A257A"/>
  </w:style>
  <w:style w:type="character" w:customStyle="1" w:styleId="cf01">
    <w:name w:val="cf01"/>
    <w:basedOn w:val="DefaultParagraphFont"/>
    <w:rsid w:val="00524CA7"/>
    <w:rPr>
      <w:rFonts w:ascii="Segoe UI" w:hAnsi="Segoe UI" w:cs="Segoe UI" w:hint="default"/>
      <w:sz w:val="18"/>
      <w:szCs w:val="18"/>
    </w:rPr>
  </w:style>
  <w:style w:type="character" w:customStyle="1" w:styleId="cf11">
    <w:name w:val="cf11"/>
    <w:basedOn w:val="DefaultParagraphFont"/>
    <w:rsid w:val="00524CA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371353">
      <w:bodyDiv w:val="1"/>
      <w:marLeft w:val="0"/>
      <w:marRight w:val="0"/>
      <w:marTop w:val="0"/>
      <w:marBottom w:val="0"/>
      <w:divBdr>
        <w:top w:val="none" w:sz="0" w:space="0" w:color="auto"/>
        <w:left w:val="none" w:sz="0" w:space="0" w:color="auto"/>
        <w:bottom w:val="none" w:sz="0" w:space="0" w:color="auto"/>
        <w:right w:val="none" w:sz="0" w:space="0" w:color="auto"/>
      </w:divBdr>
      <w:divsChild>
        <w:div w:id="977221876">
          <w:marLeft w:val="0"/>
          <w:marRight w:val="0"/>
          <w:marTop w:val="0"/>
          <w:marBottom w:val="0"/>
          <w:divBdr>
            <w:top w:val="none" w:sz="0" w:space="0" w:color="auto"/>
            <w:left w:val="none" w:sz="0" w:space="0" w:color="auto"/>
            <w:bottom w:val="none" w:sz="0" w:space="0" w:color="auto"/>
            <w:right w:val="none" w:sz="0" w:space="0" w:color="auto"/>
          </w:divBdr>
          <w:divsChild>
            <w:div w:id="500317176">
              <w:marLeft w:val="0"/>
              <w:marRight w:val="0"/>
              <w:marTop w:val="0"/>
              <w:marBottom w:val="0"/>
              <w:divBdr>
                <w:top w:val="none" w:sz="0" w:space="0" w:color="auto"/>
                <w:left w:val="none" w:sz="0" w:space="0" w:color="auto"/>
                <w:bottom w:val="none" w:sz="0" w:space="0" w:color="auto"/>
                <w:right w:val="none" w:sz="0" w:space="0" w:color="auto"/>
              </w:divBdr>
              <w:divsChild>
                <w:div w:id="73866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71585">
          <w:marLeft w:val="0"/>
          <w:marRight w:val="0"/>
          <w:marTop w:val="0"/>
          <w:marBottom w:val="0"/>
          <w:divBdr>
            <w:top w:val="none" w:sz="0" w:space="0" w:color="auto"/>
            <w:left w:val="none" w:sz="0" w:space="0" w:color="auto"/>
            <w:bottom w:val="none" w:sz="0" w:space="0" w:color="auto"/>
            <w:right w:val="none" w:sz="0" w:space="0" w:color="auto"/>
          </w:divBdr>
          <w:divsChild>
            <w:div w:id="202598580">
              <w:marLeft w:val="0"/>
              <w:marRight w:val="0"/>
              <w:marTop w:val="0"/>
              <w:marBottom w:val="0"/>
              <w:divBdr>
                <w:top w:val="none" w:sz="0" w:space="0" w:color="auto"/>
                <w:left w:val="none" w:sz="0" w:space="0" w:color="auto"/>
                <w:bottom w:val="none" w:sz="0" w:space="0" w:color="auto"/>
                <w:right w:val="none" w:sz="0" w:space="0" w:color="auto"/>
              </w:divBdr>
              <w:divsChild>
                <w:div w:id="205989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721476">
      <w:bodyDiv w:val="1"/>
      <w:marLeft w:val="0"/>
      <w:marRight w:val="0"/>
      <w:marTop w:val="0"/>
      <w:marBottom w:val="0"/>
      <w:divBdr>
        <w:top w:val="none" w:sz="0" w:space="0" w:color="auto"/>
        <w:left w:val="none" w:sz="0" w:space="0" w:color="auto"/>
        <w:bottom w:val="none" w:sz="0" w:space="0" w:color="auto"/>
        <w:right w:val="none" w:sz="0" w:space="0" w:color="auto"/>
      </w:divBdr>
      <w:divsChild>
        <w:div w:id="1247572714">
          <w:marLeft w:val="0"/>
          <w:marRight w:val="0"/>
          <w:marTop w:val="0"/>
          <w:marBottom w:val="0"/>
          <w:divBdr>
            <w:top w:val="none" w:sz="0" w:space="0" w:color="auto"/>
            <w:left w:val="none" w:sz="0" w:space="0" w:color="auto"/>
            <w:bottom w:val="none" w:sz="0" w:space="0" w:color="auto"/>
            <w:right w:val="none" w:sz="0" w:space="0" w:color="auto"/>
          </w:divBdr>
        </w:div>
        <w:div w:id="248467048">
          <w:marLeft w:val="0"/>
          <w:marRight w:val="0"/>
          <w:marTop w:val="0"/>
          <w:marBottom w:val="0"/>
          <w:divBdr>
            <w:top w:val="none" w:sz="0" w:space="0" w:color="auto"/>
            <w:left w:val="none" w:sz="0" w:space="0" w:color="auto"/>
            <w:bottom w:val="none" w:sz="0" w:space="0" w:color="auto"/>
            <w:right w:val="none" w:sz="0" w:space="0" w:color="auto"/>
          </w:divBdr>
        </w:div>
        <w:div w:id="971864094">
          <w:marLeft w:val="0"/>
          <w:marRight w:val="0"/>
          <w:marTop w:val="0"/>
          <w:marBottom w:val="0"/>
          <w:divBdr>
            <w:top w:val="none" w:sz="0" w:space="0" w:color="auto"/>
            <w:left w:val="none" w:sz="0" w:space="0" w:color="auto"/>
            <w:bottom w:val="none" w:sz="0" w:space="0" w:color="auto"/>
            <w:right w:val="none" w:sz="0" w:space="0" w:color="auto"/>
          </w:divBdr>
        </w:div>
      </w:divsChild>
    </w:div>
    <w:div w:id="1951542990">
      <w:bodyDiv w:val="1"/>
      <w:marLeft w:val="0"/>
      <w:marRight w:val="0"/>
      <w:marTop w:val="0"/>
      <w:marBottom w:val="0"/>
      <w:divBdr>
        <w:top w:val="none" w:sz="0" w:space="0" w:color="auto"/>
        <w:left w:val="none" w:sz="0" w:space="0" w:color="auto"/>
        <w:bottom w:val="none" w:sz="0" w:space="0" w:color="auto"/>
        <w:right w:val="none" w:sz="0" w:space="0" w:color="auto"/>
      </w:divBdr>
    </w:div>
    <w:div w:id="207600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caepnet.org/accreditation/caep-accreditation/caep-accreditation-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m/url?sa=i&amp;rct=j&amp;q=CAEP&amp;source=images&amp;cd=&amp;cad=rja&amp;docid=7HWO-ck_P6aVFM&amp;tbnid=9tgSuZDGgFn1_M:&amp;ved=0CAUQjRw&amp;url=http://www.ncate.org/&amp;ei=Pe89UcDeEYqA2gWwrIGoBw&amp;bvm=bv.43287494,d.dmQ&amp;psig=AFQjCNF6xZEGkpYWCdsJxhmonzLwGIzWLA&amp;ust=1363099833823230" TargetMode="External"/><Relationship Id="rId12" Type="http://schemas.microsoft.com/office/2018/08/relationships/commentsExtensible" Target="commentsExtensible.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http://caepnet.org/about/governance" TargetMode="Externa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caepnet.org/about/govern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976</Words>
  <Characters>5564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Johnson</dc:creator>
  <cp:keywords/>
  <dc:description/>
  <cp:lastModifiedBy>Amy Starzynski</cp:lastModifiedBy>
  <cp:revision>2</cp:revision>
  <dcterms:created xsi:type="dcterms:W3CDTF">2023-06-06T17:22:00Z</dcterms:created>
  <dcterms:modified xsi:type="dcterms:W3CDTF">2023-06-06T17:22:00Z</dcterms:modified>
</cp:coreProperties>
</file>